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200"/>
      </w:pPr>
      <w:r>
        <w:rPr>
          <w:rFonts w:ascii="Calibri" w:cs="Calibri" w:eastAsia="Calibri" w:hAnsi="Calibri"/>
          <w:b/>
          <w:bCs/>
          <w:color w:val="0EA5E9"/>
          <w:spacing w:val="60"/>
          <w:sz w:val="22"/>
          <w:szCs w:val="22"/>
        </w:rPr>
        <w:t xml:space="preserve">CORE WIRE METHODOLOGY</w:t>
      </w:r>
    </w:p>
    <w:p>
      <w:pPr>
        <w:pBdr>
          <w:bottom w:val="single" w:color="0EA5E9" w:sz="6" w:space="8"/>
        </w:pBdr>
        <w:spacing w:after="100"/>
      </w:pPr>
      <w:r>
        <w:rPr>
          <w:sz w:val="18"/>
          <w:szCs w:val="18"/>
        </w:rPr>
        <w:t xml:space="preserve"/>
      </w:r>
    </w:p>
    <w:p>
      <w:pPr>
        <w:spacing w:after="200" w:before="400"/>
      </w:pPr>
      <w:r>
        <w:rPr>
          <w:rFonts w:ascii="Calibri" w:cs="Calibri" w:eastAsia="Calibri" w:hAnsi="Calibri"/>
          <w:b/>
          <w:bCs/>
          <w:color w:val="0F2A4A"/>
          <w:sz w:val="56"/>
          <w:szCs w:val="56"/>
        </w:rPr>
        <w:t xml:space="preserve">The Core Wire Audit</w:t>
      </w:r>
    </w:p>
    <w:p>
      <w:pPr>
        <w:spacing w:after="600"/>
      </w:pPr>
      <w:r>
        <w:rPr>
          <w:rFonts w:ascii="Calibri" w:cs="Calibri" w:eastAsia="Calibri" w:hAnsi="Calibri"/>
          <w:i/>
          <w:iCs/>
          <w:color w:val="4A5A75"/>
          <w:sz w:val="36"/>
          <w:szCs w:val="36"/>
        </w:rPr>
        <w:t xml:space="preserve">Standardized Deliverable Template</w:t>
      </w:r>
    </w:p>
    <w:p>
      <w:pPr>
        <w:spacing w:after="200"/>
      </w:pPr>
      <w:r>
        <w:rPr>
          <w:rFonts w:ascii="Calibri" w:cs="Calibri" w:eastAsia="Calibri" w:hAnsi="Calibri"/>
          <w:color w:val="6A7A92"/>
          <w:sz w:val="22"/>
          <w:szCs w:val="22"/>
        </w:rPr>
        <w:t xml:space="preserve">Engagement: </w:t>
      </w:r>
      <w:r>
        <w:rPr>
          <w:rFonts w:ascii="Calibri" w:cs="Calibri" w:eastAsia="Calibri" w:hAnsi="Calibri"/>
          <w:b/>
          <w:bCs/>
          <w:color w:val="0F2A4A"/>
          <w:sz w:val="22"/>
          <w:szCs w:val="22"/>
        </w:rPr>
        <w:t xml:space="preserve">[ CLIENT NAME ]</w:t>
      </w:r>
    </w:p>
    <w:p>
      <w:pPr>
        <w:spacing w:after="200"/>
      </w:pPr>
      <w:r>
        <w:rPr>
          <w:rFonts w:ascii="Calibri" w:cs="Calibri" w:eastAsia="Calibri" w:hAnsi="Calibri"/>
          <w:color w:val="6A7A92"/>
          <w:sz w:val="22"/>
          <w:szCs w:val="22"/>
        </w:rPr>
        <w:t xml:space="preserve">Engagement Date: </w:t>
      </w:r>
      <w:r>
        <w:rPr>
          <w:rFonts w:ascii="Calibri" w:cs="Calibri" w:eastAsia="Calibri" w:hAnsi="Calibri"/>
          <w:color w:val="202020"/>
          <w:sz w:val="22"/>
          <w:szCs w:val="22"/>
        </w:rPr>
        <w:t xml:space="preserve">[ MONTH YEAR ]</w:t>
      </w:r>
    </w:p>
    <w:p>
      <w:pPr>
        <w:spacing w:after="200"/>
      </w:pPr>
      <w:r>
        <w:rPr>
          <w:rFonts w:ascii="Calibri" w:cs="Calibri" w:eastAsia="Calibri" w:hAnsi="Calibri"/>
          <w:color w:val="6A7A92"/>
          <w:sz w:val="22"/>
          <w:szCs w:val="22"/>
        </w:rPr>
        <w:t xml:space="preserve">Practitioner: </w:t>
      </w:r>
      <w:r>
        <w:rPr>
          <w:rFonts w:ascii="Calibri" w:cs="Calibri" w:eastAsia="Calibri" w:hAnsi="Calibri"/>
          <w:color w:val="202020"/>
          <w:sz w:val="22"/>
          <w:szCs w:val="22"/>
        </w:rPr>
        <w:t xml:space="preserve">Bo Chen, Access Intellect LLC</w:t>
      </w:r>
    </w:p>
    <w:p>
      <w:pPr>
        <w:spacing w:after="200"/>
      </w:pPr>
      <w:r>
        <w:rPr>
          <w:rFonts w:ascii="Calibri" w:cs="Calibri" w:eastAsia="Calibri" w:hAnsi="Calibri"/>
          <w:color w:val="6A7A92"/>
          <w:sz w:val="22"/>
          <w:szCs w:val="22"/>
        </w:rPr>
        <w:t xml:space="preserve">Audit Scope: </w:t>
      </w:r>
      <w:r>
        <w:rPr>
          <w:rFonts w:ascii="Calibri" w:cs="Calibri" w:eastAsia="Calibri" w:hAnsi="Calibri"/>
          <w:i/>
          <w:iCs/>
          <w:color w:val="6A7A92"/>
          <w:sz w:val="22"/>
          <w:szCs w:val="22"/>
        </w:rPr>
        <w:t xml:space="preserve">[ operational area covered ]</w:t>
      </w:r>
    </w:p>
    <w:p>
      <w:pPr>
        <w:spacing w:after="200"/>
      </w:pPr>
      <w:r>
        <w:rPr>
          <w:rFonts w:ascii="Calibri" w:cs="Calibri" w:eastAsia="Calibri" w:hAnsi="Calibri"/>
          <w:color w:val="6A7A92"/>
          <w:sz w:val="22"/>
          <w:szCs w:val="22"/>
        </w:rPr>
        <w:t xml:space="preserve">Methodology Version: </w:t>
      </w:r>
      <w:r>
        <w:rPr>
          <w:rFonts w:ascii="Calibri" w:cs="Calibri" w:eastAsia="Calibri" w:hAnsi="Calibri"/>
          <w:color w:val="202020"/>
          <w:sz w:val="22"/>
          <w:szCs w:val="22"/>
        </w:rPr>
        <w:t xml:space="preserve">Core Wire Methodology v0.1</w:t>
      </w:r>
    </w:p>
    <w:p>
      <w:pPr>
        <w:spacing w:after="200"/>
      </w:pPr>
      <w:r>
        <w:rPr>
          <w:rFonts w:ascii="Calibri" w:cs="Calibri" w:eastAsia="Calibri" w:hAnsi="Calibri"/>
          <w:color w:val="6A7A92"/>
          <w:sz w:val="22"/>
          <w:szCs w:val="22"/>
        </w:rPr>
        <w:t xml:space="preserve">Methodology Reference: </w:t>
      </w:r>
      <w:r>
        <w:rPr>
          <w:rFonts w:ascii="Calibri" w:cs="Calibri" w:eastAsia="Calibri" w:hAnsi="Calibri"/>
          <w:color w:val="0EA5E9"/>
          <w:sz w:val="22"/>
          <w:szCs w:val="22"/>
        </w:rPr>
        <w:t xml:space="preserve">corewire.org</w:t>
      </w:r>
    </w:p>
    <w:p>
      <w:pPr>
        <w:spacing w:before="1400"/>
      </w:pPr>
    </w:p>
    <w:p>
      <w:pPr>
        <w:pBdr>
          <w:top w:val="single" w:color="D0D7E2" w:sz="6" w:space="8"/>
        </w:pBdr>
      </w:pPr>
      <w:r>
        <w:rPr>
          <w:sz w:val="18"/>
          <w:szCs w:val="18"/>
        </w:rPr>
        <w:t xml:space="preserve"/>
      </w:r>
    </w:p>
    <w:p>
      <w:pPr>
        <w:spacing w:after="100" w:before="200"/>
      </w:pPr>
      <w:r>
        <w:rPr>
          <w:rFonts w:ascii="Calibri" w:cs="Calibri" w:eastAsia="Calibri" w:hAnsi="Calibri"/>
          <w:b/>
          <w:bCs/>
          <w:color w:val="6A7A92"/>
          <w:spacing w:val="30"/>
          <w:sz w:val="18"/>
          <w:szCs w:val="18"/>
        </w:rPr>
        <w:t xml:space="preserve">PUBLISHED OPENLY UNDER CC-BY-4.0</w:t>
      </w:r>
    </w:p>
    <w:p>
      <w:pPr>
        <w:spacing w:after="100"/>
      </w:pPr>
      <w:r>
        <w:rPr>
          <w:rFonts w:ascii="Calibri" w:cs="Calibri" w:eastAsia="Calibri" w:hAnsi="Calibri"/>
          <w:i/>
          <w:iCs/>
          <w:color w:val="6A7A92"/>
          <w:sz w:val="18"/>
          <w:szCs w:val="18"/>
        </w:rPr>
        <w:t xml:space="preserve">This template is the standardized deliverable form a Core Wire Audit ships against. The methodology is open-published; the practitioner discernment that fills it is the value. This template may be adopted, adapted, and used freely with attribution to corewire.org. Document reproduction does not constitute affiliation with Access Intellect LLC.</w:t>
      </w:r>
    </w:p>
    <w:p>
      <w:r>
        <w:br w:type="page"/>
      </w:r>
    </w:p>
    <w:p>
      <w:pPr>
        <w:pStyle w:val="Heading1"/>
        <w:spacing w:after="200" w:before="360"/>
      </w:pPr>
      <w:r>
        <w:rPr>
          <w:rFonts w:ascii="Calibri" w:cs="Calibri" w:eastAsia="Calibri" w:hAnsi="Calibri"/>
          <w:b/>
          <w:bCs/>
          <w:color w:val="0F2A4A"/>
          <w:sz w:val="32"/>
          <w:szCs w:val="32"/>
        </w:rPr>
        <w:t xml:space="preserve">Document Control</w:t>
      </w:r>
    </w:p>
    <w:p>
      <w:pPr>
        <w:pBdr>
          <w:bottom w:val="single" w:color="0EA5E9" w:sz="6" w:space="1"/>
        </w:pBdr>
        <w:spacing w:after="200" w:before="100"/>
      </w:pPr>
    </w:p>
    <w:p>
      <w:pPr>
        <w:pStyle w:val="Heading3"/>
        <w:spacing w:after="100" w:before="200"/>
      </w:pPr>
      <w:r>
        <w:rPr>
          <w:rFonts w:ascii="Calibri" w:cs="Calibri" w:eastAsia="Calibri" w:hAnsi="Calibri"/>
          <w:b/>
          <w:bCs/>
          <w:color w:val="202020"/>
          <w:sz w:val="23"/>
          <w:szCs w:val="23"/>
        </w:rPr>
        <w:t xml:space="preserve">Engagement Metadata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Client</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CLIENT NAME ]</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Client Contact</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name, title, email ]</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Engagement ID</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AICW-NNN-YYYY ]</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Engagement Type</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Core Wire Audit (Tier 1 — Diagnostic)</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Engagement Date</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start date — end date ]</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Practitioner</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Bo Chen, Access Intellect LLC</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Methodology Version</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val="false"/>
                <w:iCs w:val="false"/>
                <w:color w:val="202020"/>
                <w:sz w:val="21"/>
                <w:szCs w:val="21"/>
              </w:rPr>
              <w:t xml:space="preserve">Core Wire Methodology v0.1</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Document Version</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vN.N — date ]</w:t>
            </w:r>
          </w:p>
        </w:tc>
      </w:tr>
      <w:tr>
        <w:tc>
          <w:tcPr>
            <w:tcW w:type="dxa" w:w="26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color w:val="4A5A75"/>
                <w:sz w:val="21"/>
                <w:szCs w:val="21"/>
              </w:rPr>
              <w:t xml:space="preserve">Distribution</w:t>
            </w:r>
          </w:p>
        </w:tc>
        <w:tc>
          <w:tcPr>
            <w:tcW w:type="dxa" w:w="67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i/>
                <w:iCs/>
                <w:color w:val="6A7A92"/>
                <w:sz w:val="21"/>
                <w:szCs w:val="21"/>
              </w:rPr>
              <w:t xml:space="preserve">[ named recipients on client side ]</w:t>
            </w:r>
          </w:p>
        </w:tc>
      </w:tr>
    </w:tbl>
    <w:p>
      <w:pPr>
        <w:spacing w:after="80"/>
      </w:pPr>
    </w:p>
    <w:p>
      <w:pPr>
        <w:pStyle w:val="Heading3"/>
        <w:spacing w:after="100" w:before="200"/>
      </w:pPr>
      <w:r>
        <w:rPr>
          <w:rFonts w:ascii="Calibri" w:cs="Calibri" w:eastAsia="Calibri" w:hAnsi="Calibri"/>
          <w:b/>
          <w:bCs/>
          <w:color w:val="202020"/>
          <w:sz w:val="23"/>
          <w:szCs w:val="23"/>
        </w:rPr>
        <w:t xml:space="preserve">Confidentiality</w:t>
      </w:r>
    </w:p>
    <w:p>
      <w:pPr>
        <w:spacing w:after="120" w:before="0" w:line="320"/>
      </w:pPr>
      <w:r>
        <w:rPr>
          <w:rFonts w:ascii="Calibri" w:cs="Calibri" w:eastAsia="Calibri" w:hAnsi="Calibri"/>
          <w:b w:val="false"/>
          <w:bCs w:val="false"/>
          <w:i w:val="false"/>
          <w:iCs w:val="false"/>
          <w:color w:val="202020"/>
          <w:sz w:val="22"/>
          <w:szCs w:val="22"/>
        </w:rPr>
        <w:t xml:space="preserve">This deliverable contains operational details of the client’s business operations. Distribution is limited to the named recipients above and successors in interest. Reproduction in whole or in part outside the client organization requires written consent from Access Intellect LLC except where the underlying methodology itself (open-published at corewire.org under CC-BY-4.0) is being referenced or excerpted with attribution.</w:t>
      </w:r>
    </w:p>
    <w:p>
      <w:pPr>
        <w:pStyle w:val="Heading3"/>
        <w:spacing w:after="100" w:before="200"/>
      </w:pPr>
      <w:r>
        <w:rPr>
          <w:rFonts w:ascii="Calibri" w:cs="Calibri" w:eastAsia="Calibri" w:hAnsi="Calibri"/>
          <w:b/>
          <w:bCs/>
          <w:color w:val="202020"/>
          <w:sz w:val="23"/>
          <w:szCs w:val="23"/>
        </w:rPr>
        <w:t xml:space="preserve">Revision 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400"/>
        <w:gridCol w:w="5460"/>
      </w:tblGrid>
      <w:tr>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Version</w:t>
            </w:r>
          </w:p>
        </w:tc>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Date</w:t>
            </w:r>
          </w:p>
        </w:tc>
        <w:tc>
          <w:tcPr>
            <w:tcW w:type="dxa" w:w="54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Change</w:t>
            </w:r>
          </w:p>
        </w:tc>
      </w:tr>
      <w:tr>
        <w:tc>
          <w:tcPr>
            <w:tcW w:type="dxa" w:w="15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202020"/>
                <w:sz w:val="19"/>
                <w:szCs w:val="19"/>
              </w:rPr>
              <w:t xml:space="preserve">v0.1</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YYYY-MM-DD ]</w:t>
            </w:r>
          </w:p>
        </w:tc>
        <w:tc>
          <w:tcPr>
            <w:tcW w:type="dxa" w:w="5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description of changes ]</w:t>
            </w:r>
          </w:p>
        </w:tc>
      </w:tr>
      <w:tr>
        <w:tc>
          <w:tcPr>
            <w:tcW w:type="dxa" w:w="15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202020"/>
                <w:sz w:val="19"/>
                <w:szCs w:val="19"/>
              </w:rPr>
              <w:t xml:space="preserve">v0.2</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YYYY-MM-DD ]</w:t>
            </w:r>
          </w:p>
        </w:tc>
        <w:tc>
          <w:tcPr>
            <w:tcW w:type="dxa" w:w="5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description of changes ]</w:t>
            </w:r>
          </w:p>
        </w:tc>
      </w:tr>
      <w:tr>
        <w:tc>
          <w:tcPr>
            <w:tcW w:type="dxa" w:w="15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202020"/>
                <w:sz w:val="19"/>
                <w:szCs w:val="19"/>
              </w:rPr>
              <w:t xml:space="preserve">v1.0</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YYYY-MM-DD ]</w:t>
            </w:r>
          </w:p>
        </w:tc>
        <w:tc>
          <w:tcPr>
            <w:tcW w:type="dxa" w:w="5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description of changes ]</w:t>
            </w:r>
          </w:p>
        </w:tc>
      </w:tr>
    </w:tbl>
    <w:p>
      <w:r>
        <w:br w:type="page"/>
      </w:r>
    </w:p>
    <w:p>
      <w:pPr>
        <w:pStyle w:val="Heading1"/>
        <w:spacing w:after="200" w:before="360"/>
      </w:pPr>
      <w:r>
        <w:rPr>
          <w:rFonts w:ascii="Calibri" w:cs="Calibri" w:eastAsia="Calibri" w:hAnsi="Calibri"/>
          <w:b/>
          <w:bCs/>
          <w:color w:val="0F2A4A"/>
          <w:sz w:val="32"/>
          <w:szCs w:val="32"/>
        </w:rPr>
        <w:t xml:space="preserve">Executive Summary</w:t>
      </w:r>
    </w:p>
    <w:p>
      <w:pPr>
        <w:pBdr>
          <w:bottom w:val="single" w:color="0EA5E9" w:sz="6" w:space="1"/>
        </w:pBdr>
        <w:spacing w:after="200" w:before="100"/>
      </w:pP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This section is the entire audit’s answer in one page. The CFO reads it and decides whether to proceed to the build engagement. Write it last. Lead with the most material findings. State the FTE-displacement aggregate as a range with explicit confidence. End with the three concrete decisions required from the operator.</w:t>
      </w:r>
    </w:p>
    <w:p>
      <w:pPr>
        <w:pStyle w:val="Heading3"/>
        <w:spacing w:after="100" w:before="200"/>
      </w:pPr>
      <w:r>
        <w:rPr>
          <w:rFonts w:ascii="Calibri" w:cs="Calibri" w:eastAsia="Calibri" w:hAnsi="Calibri"/>
          <w:b/>
          <w:bCs/>
          <w:color w:val="202020"/>
          <w:sz w:val="23"/>
          <w:szCs w:val="23"/>
        </w:rPr>
        <w:t xml:space="preserve">Engagement Overview</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One paragraph: client, scope of audit, period of inventory, primary findings preview</w:t>
      </w:r>
      <w:r>
        <w:rPr>
          <w:rFonts w:ascii="Calibri" w:cs="Calibri" w:eastAsia="Calibri" w:hAnsi="Calibri"/>
          <w:b/>
          <w:bCs/>
          <w:color w:val="6A7A92"/>
          <w:sz w:val="22"/>
          <w:szCs w:val="22"/>
        </w:rPr>
        <w:t xml:space="preserve"> ]</w:t>
      </w:r>
    </w:p>
    <w:p>
      <w:pPr>
        <w:pStyle w:val="Heading3"/>
        <w:spacing w:after="100" w:before="200"/>
      </w:pPr>
      <w:r>
        <w:rPr>
          <w:rFonts w:ascii="Calibri" w:cs="Calibri" w:eastAsia="Calibri" w:hAnsi="Calibri"/>
          <w:b/>
          <w:bCs/>
          <w:color w:val="202020"/>
          <w:sz w:val="23"/>
          <w:szCs w:val="23"/>
        </w:rPr>
        <w:t xml:space="preserve">Headline Findings</w:t>
      </w:r>
    </w:p>
    <w:p>
      <w:pPr>
        <w:pStyle w:val="ListParagraph"/>
        <w:numPr>
          <w:ilvl w:val="0"/>
          <w:numId w:val="2"/>
        </w:numPr>
        <w:spacing w:after="80" w:line="320"/>
      </w:pPr>
      <w:r>
        <w:rPr>
          <w:rFonts w:ascii="Calibri" w:cs="Calibri" w:eastAsia="Calibri" w:hAnsi="Calibri"/>
          <w:i/>
          <w:iCs/>
          <w:color w:val="6A7A92"/>
          <w:sz w:val="22"/>
          <w:szCs w:val="22"/>
        </w:rPr>
        <w:t xml:space="preserve">[ Finding 1: e.g., 4 of 12 inventoried actions are scaffolding compressible to deterministic routines ]</w:t>
      </w:r>
    </w:p>
    <w:p>
      <w:pPr>
        <w:pStyle w:val="ListParagraph"/>
        <w:numPr>
          <w:ilvl w:val="0"/>
          <w:numId w:val="2"/>
        </w:numPr>
        <w:spacing w:after="80" w:line="320"/>
      </w:pPr>
      <w:r>
        <w:rPr>
          <w:rFonts w:ascii="Calibri" w:cs="Calibri" w:eastAsia="Calibri" w:hAnsi="Calibri"/>
          <w:i/>
          <w:iCs/>
          <w:color w:val="6A7A92"/>
          <w:sz w:val="22"/>
          <w:szCs w:val="22"/>
        </w:rPr>
        <w:t xml:space="preserve">[ Finding 2: e.g., 2 actions misclassified as scaffolding are actually core wire ]</w:t>
      </w:r>
    </w:p>
    <w:p>
      <w:pPr>
        <w:pStyle w:val="ListParagraph"/>
        <w:numPr>
          <w:ilvl w:val="0"/>
          <w:numId w:val="2"/>
        </w:numPr>
        <w:spacing w:after="80" w:line="320"/>
      </w:pPr>
      <w:r>
        <w:rPr>
          <w:rFonts w:ascii="Calibri" w:cs="Calibri" w:eastAsia="Calibri" w:hAnsi="Calibri"/>
          <w:i/>
          <w:iCs/>
          <w:color w:val="6A7A92"/>
          <w:sz w:val="22"/>
          <w:szCs w:val="22"/>
        </w:rPr>
        <w:t xml:space="preserve">[ Finding 3: e.g., highest-leverage compilation target is X with $Y annual displacement ]</w:t>
      </w:r>
    </w:p>
    <w:p>
      <w:pPr>
        <w:pStyle w:val="ListParagraph"/>
        <w:numPr>
          <w:ilvl w:val="0"/>
          <w:numId w:val="2"/>
        </w:numPr>
        <w:spacing w:after="80" w:line="320"/>
      </w:pPr>
      <w:r>
        <w:rPr>
          <w:rFonts w:ascii="Calibri" w:cs="Calibri" w:eastAsia="Calibri" w:hAnsi="Calibri"/>
          <w:i/>
          <w:iCs/>
          <w:color w:val="6A7A92"/>
          <w:sz w:val="22"/>
          <w:szCs w:val="22"/>
        </w:rPr>
        <w:t xml:space="preserve">[ Finding 4: e.g., regulatory exposure assessment for compilation targets ]</w:t>
      </w:r>
    </w:p>
    <w:p>
      <w:pPr>
        <w:pStyle w:val="Heading3"/>
        <w:spacing w:after="100" w:before="200"/>
      </w:pPr>
      <w:r>
        <w:rPr>
          <w:rFonts w:ascii="Calibri" w:cs="Calibri" w:eastAsia="Calibri" w:hAnsi="Calibri"/>
          <w:b/>
          <w:bCs/>
          <w:color w:val="202020"/>
          <w:sz w:val="23"/>
          <w:szCs w:val="23"/>
        </w:rPr>
        <w:t xml:space="preserve">FTE-Displacement Summary</w:t>
      </w:r>
    </w:p>
    <w:p>
      <w:pPr>
        <w:spacing w:after="120" w:before="0" w:line="320"/>
      </w:pPr>
      <w:r>
        <w:rPr>
          <w:rFonts w:ascii="Calibri" w:cs="Calibri" w:eastAsia="Calibri" w:hAnsi="Calibri"/>
          <w:b/>
          <w:bCs/>
          <w:i w:val="false"/>
          <w:iCs w:val="false"/>
          <w:color w:val="202020"/>
          <w:sz w:val="22"/>
          <w:szCs w:val="22"/>
        </w:rPr>
        <w:t xml:space="preserve">Aggregate Annual Labor Displacement: </w:t>
      </w:r>
      <w:r>
        <w:rPr>
          <w:rFonts w:ascii="Calibri" w:cs="Calibri" w:eastAsia="Calibri" w:hAnsi="Calibri"/>
          <w:b/>
          <w:bCs/>
          <w:i w:val="false"/>
          <w:iCs w:val="false"/>
          <w:color w:val="0F2A4A"/>
          <w:sz w:val="22"/>
          <w:szCs w:val="22"/>
        </w:rPr>
        <w:t xml:space="preserve">$</w:t>
      </w:r>
      <w:r>
        <w:rPr>
          <w:rFonts w:ascii="Calibri" w:cs="Calibri" w:eastAsia="Calibri" w:hAnsi="Calibri"/>
          <w:b/>
          <w:bCs/>
          <w:i/>
          <w:iCs/>
          <w:color w:val="0EA5E9"/>
          <w:sz w:val="22"/>
          <w:szCs w:val="22"/>
        </w:rPr>
        <w:t xml:space="preserve">[ low ]</w:t>
      </w:r>
      <w:r>
        <w:rPr>
          <w:rFonts w:ascii="Calibri" w:cs="Calibri" w:eastAsia="Calibri" w:hAnsi="Calibri"/>
          <w:b/>
          <w:bCs/>
          <w:i w:val="false"/>
          <w:iCs w:val="false"/>
          <w:color w:val="0F2A4A"/>
          <w:sz w:val="22"/>
          <w:szCs w:val="22"/>
        </w:rPr>
        <w:t xml:space="preserve"> to $</w:t>
      </w:r>
      <w:r>
        <w:rPr>
          <w:rFonts w:ascii="Calibri" w:cs="Calibri" w:eastAsia="Calibri" w:hAnsi="Calibri"/>
          <w:b/>
          <w:bCs/>
          <w:i/>
          <w:iCs/>
          <w:color w:val="0EA5E9"/>
          <w:sz w:val="22"/>
          <w:szCs w:val="22"/>
        </w:rPr>
        <w:t xml:space="preserve">[ high ]</w:t>
      </w:r>
      <w:r>
        <w:rPr>
          <w:rFonts w:ascii="Calibri" w:cs="Calibri" w:eastAsia="Calibri" w:hAnsi="Calibri"/>
          <w:b w:val="false"/>
          <w:bCs w:val="false"/>
          <w:i w:val="false"/>
          <w:iCs w:val="false"/>
          <w:color w:val="6A7A92"/>
          <w:sz w:val="22"/>
          <w:szCs w:val="22"/>
        </w:rPr>
        <w:t xml:space="preserve">  /  </w:t>
      </w:r>
      <w:r>
        <w:rPr>
          <w:rFonts w:ascii="Calibri" w:cs="Calibri" w:eastAsia="Calibri" w:hAnsi="Calibri"/>
          <w:b/>
          <w:bCs/>
          <w:i w:val="false"/>
          <w:iCs w:val="false"/>
          <w:color w:val="202020"/>
          <w:sz w:val="22"/>
          <w:szCs w:val="22"/>
        </w:rPr>
        <w:t xml:space="preserve">Confidence: </w:t>
      </w:r>
      <w:r>
        <w:rPr>
          <w:rFonts w:ascii="Calibri" w:cs="Calibri" w:eastAsia="Calibri" w:hAnsi="Calibri"/>
          <w:b w:val="false"/>
          <w:bCs w:val="false"/>
          <w:i/>
          <w:iCs/>
          <w:color w:val="6A7A92"/>
          <w:sz w:val="22"/>
          <w:szCs w:val="22"/>
        </w:rPr>
        <w:t xml:space="preserve">[ % range ]</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The aggregate displacement is the most material number in the deliverable. Every other section feeds it. State it once, here, with calibrated range. Do not state a single point estimate; the precision would be false.</w:t>
      </w:r>
    </w:p>
    <w:p>
      <w:pPr>
        <w:pStyle w:val="Heading3"/>
        <w:spacing w:after="100" w:before="200"/>
      </w:pPr>
      <w:r>
        <w:rPr>
          <w:rFonts w:ascii="Calibri" w:cs="Calibri" w:eastAsia="Calibri" w:hAnsi="Calibri"/>
          <w:b/>
          <w:bCs/>
          <w:color w:val="202020"/>
          <w:sz w:val="23"/>
          <w:szCs w:val="23"/>
        </w:rPr>
        <w:t xml:space="preserve">Recommended Next Steps</w:t>
      </w:r>
    </w:p>
    <w:p>
      <w:pPr>
        <w:pStyle w:val="ListParagraph"/>
        <w:numPr>
          <w:ilvl w:val="0"/>
          <w:numId w:val="2"/>
        </w:numPr>
        <w:spacing w:after="80" w:line="320"/>
      </w:pPr>
      <w:r>
        <w:rPr>
          <w:rFonts w:ascii="Calibri" w:cs="Calibri" w:eastAsia="Calibri" w:hAnsi="Calibri"/>
          <w:i/>
          <w:iCs/>
          <w:color w:val="6A7A92"/>
          <w:sz w:val="22"/>
          <w:szCs w:val="22"/>
        </w:rPr>
        <w:t xml:space="preserve">[ Recommendation 1: e.g., Proceed to Tier 2 Build for compilation target #1 ]</w:t>
      </w:r>
    </w:p>
    <w:p>
      <w:pPr>
        <w:pStyle w:val="ListParagraph"/>
        <w:numPr>
          <w:ilvl w:val="0"/>
          <w:numId w:val="2"/>
        </w:numPr>
        <w:spacing w:after="80" w:line="320"/>
      </w:pPr>
      <w:r>
        <w:rPr>
          <w:rFonts w:ascii="Calibri" w:cs="Calibri" w:eastAsia="Calibri" w:hAnsi="Calibri"/>
          <w:i/>
          <w:iCs/>
          <w:color w:val="6A7A92"/>
          <w:sz w:val="22"/>
          <w:szCs w:val="22"/>
        </w:rPr>
        <w:t xml:space="preserve">[ Recommendation 2: e.g., Defer compilation target #4 pending regulatory clarification ]</w:t>
      </w:r>
    </w:p>
    <w:p>
      <w:pPr>
        <w:pStyle w:val="ListParagraph"/>
        <w:numPr>
          <w:ilvl w:val="0"/>
          <w:numId w:val="2"/>
        </w:numPr>
        <w:spacing w:after="80" w:line="320"/>
      </w:pPr>
      <w:r>
        <w:rPr>
          <w:rFonts w:ascii="Calibri" w:cs="Calibri" w:eastAsia="Calibri" w:hAnsi="Calibri"/>
          <w:i/>
          <w:iCs/>
          <w:color w:val="6A7A92"/>
          <w:sz w:val="22"/>
          <w:szCs w:val="22"/>
        </w:rPr>
        <w:t xml:space="preserve">[ Recommendation 3: e.g., No automation recommended for actions classified as core wire ]</w:t>
      </w:r>
    </w:p>
    <w:p>
      <w:pPr>
        <w:pBdr>
          <w:left w:val="single" w:color="0EA5E9" w:sz="18" w:space="12"/>
        </w:pBdr>
        <w:spacing w:after="220" w:before="220" w:line="360"/>
        <w:ind w:left="360" w:right="360"/>
      </w:pPr>
      <w:r>
        <w:rPr>
          <w:rFonts w:ascii="Calibri" w:cs="Calibri" w:eastAsia="Calibri" w:hAnsi="Calibri"/>
          <w:i/>
          <w:iCs/>
          <w:color w:val="1B4070"/>
          <w:sz w:val="24"/>
          <w:szCs w:val="24"/>
        </w:rPr>
        <w:t xml:space="preserve">Diagnosis precedes any code. The audit is the product. The build is what follows when the audit recommends it.</w:t>
      </w:r>
    </w:p>
    <w:p>
      <w:r>
        <w:br w:type="page"/>
      </w:r>
    </w:p>
    <w:p>
      <w:pPr>
        <w:pStyle w:val="Heading1"/>
        <w:spacing w:after="200" w:before="360"/>
      </w:pPr>
      <w:r>
        <w:rPr>
          <w:rFonts w:ascii="Calibri" w:cs="Calibri" w:eastAsia="Calibri" w:hAnsi="Calibri"/>
          <w:b/>
          <w:bCs/>
          <w:color w:val="0F2A4A"/>
          <w:sz w:val="32"/>
          <w:szCs w:val="32"/>
        </w:rPr>
        <w:t xml:space="preserve">§ 1   Operational Inventory</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1.1   Scope of Inventory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The inventory captures every recurring action across a representative interval (typically 30–90 days). Each action is annotated with frequency, duration per occurrence, loaded annual cost, and the source/target systems it touches. Coverage assessment states what is in scope and what is explicitly excluded.</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scope of operations covered by this inventory</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1.2   Coverage Period</w:t>
      </w:r>
    </w:p>
    <w:p>
      <w:pPr>
        <w:spacing w:after="120" w:before="0" w:line="320"/>
      </w:pPr>
      <w:r>
        <w:rPr>
          <w:rFonts w:ascii="Calibri" w:cs="Calibri" w:eastAsia="Calibri" w:hAnsi="Calibri"/>
          <w:b/>
          <w:bCs/>
          <w:i w:val="false"/>
          <w:iCs w:val="false"/>
          <w:color w:val="202020"/>
          <w:sz w:val="22"/>
          <w:szCs w:val="22"/>
        </w:rPr>
        <w:t xml:space="preserve">Inventory Interval: </w:t>
      </w:r>
      <w:r>
        <w:rPr>
          <w:rFonts w:ascii="Calibri" w:cs="Calibri" w:eastAsia="Calibri" w:hAnsi="Calibri"/>
          <w:b w:val="false"/>
          <w:bCs w:val="false"/>
          <w:i/>
          <w:iCs/>
          <w:color w:val="6A7A92"/>
          <w:sz w:val="22"/>
          <w:szCs w:val="22"/>
        </w:rPr>
        <w:t xml:space="preserve">[ start date — end date ]</w:t>
      </w:r>
    </w:p>
    <w:p>
      <w:pPr>
        <w:spacing w:after="120" w:before="0" w:line="320"/>
      </w:pPr>
      <w:r>
        <w:rPr>
          <w:rFonts w:ascii="Calibri" w:cs="Calibri" w:eastAsia="Calibri" w:hAnsi="Calibri"/>
          <w:b/>
          <w:bCs/>
          <w:i w:val="false"/>
          <w:iCs w:val="false"/>
          <w:color w:val="202020"/>
          <w:sz w:val="22"/>
          <w:szCs w:val="22"/>
        </w:rPr>
        <w:t xml:space="preserve">Total Working Days Observed: </w:t>
      </w:r>
      <w:r>
        <w:rPr>
          <w:rFonts w:ascii="Calibri" w:cs="Calibri" w:eastAsia="Calibri" w:hAnsi="Calibri"/>
          <w:b w:val="false"/>
          <w:bCs w:val="false"/>
          <w:i/>
          <w:iCs/>
          <w:color w:val="6A7A92"/>
          <w:sz w:val="22"/>
          <w:szCs w:val="22"/>
        </w:rPr>
        <w:t xml:space="preserve">[ N days ]</w:t>
      </w:r>
    </w:p>
    <w:p>
      <w:pPr>
        <w:spacing w:after="120" w:before="0" w:line="320"/>
      </w:pPr>
      <w:r>
        <w:rPr>
          <w:rFonts w:ascii="Calibri" w:cs="Calibri" w:eastAsia="Calibri" w:hAnsi="Calibri"/>
          <w:b/>
          <w:bCs/>
          <w:i w:val="false"/>
          <w:iCs w:val="false"/>
          <w:color w:val="202020"/>
          <w:sz w:val="22"/>
          <w:szCs w:val="22"/>
        </w:rPr>
        <w:t xml:space="preserve">Data Sources Reviewed: </w:t>
      </w:r>
      <w:r>
        <w:rPr>
          <w:rFonts w:ascii="Calibri" w:cs="Calibri" w:eastAsia="Calibri" w:hAnsi="Calibri"/>
          <w:b w:val="false"/>
          <w:bCs w:val="false"/>
          <w:i/>
          <w:iCs/>
          <w:color w:val="6A7A92"/>
          <w:sz w:val="22"/>
          <w:szCs w:val="22"/>
        </w:rPr>
        <w:t xml:space="preserve">[ time tracking, system logs, interview notes, document samples ]</w:t>
      </w:r>
    </w:p>
    <w:p>
      <w:pPr>
        <w:pStyle w:val="Heading2"/>
        <w:spacing w:after="140" w:before="280"/>
      </w:pPr>
      <w:r>
        <w:rPr>
          <w:rFonts w:ascii="Calibri" w:cs="Calibri" w:eastAsia="Calibri" w:hAnsi="Calibri"/>
          <w:b/>
          <w:bCs/>
          <w:color w:val="1B4070"/>
          <w:sz w:val="26"/>
          <w:szCs w:val="26"/>
        </w:rPr>
        <w:t xml:space="preserve">1.3   Recurring Actions Inventoried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400"/>
        <w:gridCol w:w="1700"/>
        <w:gridCol w:w="2460"/>
      </w:tblGrid>
      <w:tr>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Recurring Action</w:t>
            </w:r>
          </w:p>
        </w:tc>
        <w:tc>
          <w:tcPr>
            <w:tcW w:type="dxa" w:w="1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Frequency</w:t>
            </w:r>
          </w:p>
        </w:tc>
        <w:tc>
          <w:tcPr>
            <w:tcW w:type="dxa" w:w="1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Duration</w:t>
            </w:r>
          </w:p>
        </w:tc>
        <w:tc>
          <w:tcPr>
            <w:tcW w:type="dxa" w:w="17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Loaded Annual Cost</w:t>
            </w:r>
          </w:p>
        </w:tc>
        <w:tc>
          <w:tcPr>
            <w:tcW w:type="dxa" w:w="24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Source / Target Systems</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daily / wkly / etc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minutes / call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____ ]</w:t>
            </w:r>
          </w:p>
        </w:tc>
        <w:tc>
          <w:tcPr>
            <w:tcW w:type="dxa" w:w="24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system A → system B ]</w:t>
            </w:r>
          </w:p>
        </w:tc>
      </w:tr>
    </w:tbl>
    <w:p>
      <w:pPr>
        <w:spacing w:after="80"/>
      </w:pP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Add additional rows as needed. Coverage should typically include 6–20 distinct recurring actions. Fewer than 6 suggests scope was set too narrowly; more than 20 suggests the audit is trying to cover too many operational domains in a single engagement.</w:t>
      </w:r>
    </w:p>
    <w:p>
      <w:pPr>
        <w:pStyle w:val="Heading2"/>
        <w:spacing w:after="140" w:before="280"/>
      </w:pPr>
      <w:r>
        <w:rPr>
          <w:rFonts w:ascii="Calibri" w:cs="Calibri" w:eastAsia="Calibri" w:hAnsi="Calibri"/>
          <w:b/>
          <w:bCs/>
          <w:color w:val="1B4070"/>
          <w:sz w:val="26"/>
          <w:szCs w:val="26"/>
        </w:rPr>
        <w:t xml:space="preserve">1.4   Coverage Assessment</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what the inventory covers and what is explicitly out of scope</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known gaps — operations the practitioner did not have access to, or did not have time to inventory</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2   Core Wire Identification</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2.1   The Test</w:t>
      </w:r>
    </w:p>
    <w:p>
      <w:pPr>
        <w:pBdr>
          <w:left w:val="single" w:color="0EA5E9" w:sz="18" w:space="12"/>
        </w:pBdr>
        <w:spacing w:after="220" w:before="220" w:line="360"/>
        <w:ind w:left="360" w:right="360"/>
      </w:pPr>
      <w:r>
        <w:rPr>
          <w:rFonts w:ascii="Calibri" w:cs="Calibri" w:eastAsia="Calibri" w:hAnsi="Calibri"/>
          <w:i/>
          <w:iCs/>
          <w:color w:val="1B4070"/>
          <w:sz w:val="24"/>
          <w:szCs w:val="24"/>
        </w:rPr>
        <w:t xml:space="preserve">Would the system cease to be itself if this operation were removed? If yes — core wire. If no — scaffolding.</w:t>
      </w:r>
    </w:p>
    <w:p>
      <w:pPr>
        <w:spacing w:after="120" w:before="0" w:line="320"/>
      </w:pPr>
      <w:r>
        <w:rPr>
          <w:rFonts w:ascii="Calibri" w:cs="Calibri" w:eastAsia="Calibri" w:hAnsi="Calibri"/>
          <w:b w:val="false"/>
          <w:bCs w:val="false"/>
          <w:i w:val="false"/>
          <w:iCs w:val="false"/>
          <w:color w:val="202020"/>
          <w:sz w:val="22"/>
          <w:szCs w:val="22"/>
        </w:rPr>
        <w:t xml:space="preserve">Each action from § 1 is tested against this question. Two buckets only: core wire and scaffolding. The test is unforgiving and operationally clean. Most actions classify cleanly; a small number sit on the boundary and require verification (treated in § 3).</w:t>
      </w:r>
    </w:p>
    <w:p>
      <w:pPr>
        <w:pStyle w:val="Heading2"/>
        <w:spacing w:after="140" w:before="280"/>
      </w:pPr>
      <w:r>
        <w:rPr>
          <w:rFonts w:ascii="Calibri" w:cs="Calibri" w:eastAsia="Calibri" w:hAnsi="Calibri"/>
          <w:b/>
          <w:bCs/>
          <w:color w:val="1B4070"/>
          <w:sz w:val="26"/>
          <w:szCs w:val="26"/>
        </w:rPr>
        <w:t xml:space="preserve">2.2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4960"/>
      </w:tblGrid>
      <w:tr>
        <w:tc>
          <w:tcPr>
            <w:tcW w:type="dxa" w:w="30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Action (from § 1)</w:t>
            </w:r>
          </w:p>
        </w:tc>
        <w:tc>
          <w:tcPr>
            <w:tcW w:type="dxa" w:w="1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Classification</w:t>
            </w:r>
          </w:p>
        </w:tc>
        <w:tc>
          <w:tcPr>
            <w:tcW w:type="dxa" w:w="49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Reasoning (the test)</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r>
        <w:tc>
          <w:tcPr>
            <w:tcW w:type="dxa" w:w="3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action description ]</w:t>
            </w:r>
          </w:p>
        </w:tc>
        <w:tc>
          <w:tcPr>
            <w:tcW w:type="dxa" w:w="1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core / scaffold ]</w:t>
            </w:r>
          </w:p>
        </w:tc>
        <w:tc>
          <w:tcPr>
            <w:tcW w:type="dxa" w:w="49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Would the system cease to be itself if removed? ]</w:t>
            </w:r>
          </w:p>
        </w:tc>
      </w:tr>
    </w:tbl>
    <w:p>
      <w:pPr>
        <w:spacing w:after="80"/>
      </w:pP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The classifications produced here are the practitioner’s first-pass assessment. They will be tested against the operator’s own perception in § 3 (Boundary Verification). It is normal and expected that 1–3 classifications will shift after verification. If zero classifications shift after verification, either the audit was conducted too superficially or the operator agreed too readily — both are warning signs.</w:t>
      </w:r>
    </w:p>
    <w:p>
      <w:pPr>
        <w:pStyle w:val="Heading2"/>
        <w:spacing w:after="140" w:before="280"/>
      </w:pPr>
      <w:r>
        <w:rPr>
          <w:rFonts w:ascii="Calibri" w:cs="Calibri" w:eastAsia="Calibri" w:hAnsi="Calibri"/>
          <w:b/>
          <w:bCs/>
          <w:color w:val="1B4070"/>
          <w:sz w:val="26"/>
          <w:szCs w:val="26"/>
        </w:rPr>
        <w:t xml:space="preserve">2.3   Boundary Cases Noted</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classifications the practitioner is least confident in, and why</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actions appear on the boundary between core wire and scaffolding, and require operator verification</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3   Boundary Verification</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3.1   Methodology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Walk the inventory with the operator. Most boundaries hold; a few do not. The contested cases are where the value is. The methodology refuses to compile anything the operator cannot articulate as scaffolding, even when the test says it is. Verification is the gate that protects against false economies.</w:t>
      </w:r>
    </w:p>
    <w:p>
      <w:pPr>
        <w:pStyle w:val="Heading2"/>
        <w:spacing w:after="140" w:before="280"/>
      </w:pPr>
      <w:r>
        <w:rPr>
          <w:rFonts w:ascii="Calibri" w:cs="Calibri" w:eastAsia="Calibri" w:hAnsi="Calibri"/>
          <w:b/>
          <w:bCs/>
          <w:color w:val="1B4070"/>
          <w:sz w:val="26"/>
          <w:szCs w:val="26"/>
        </w:rPr>
        <w:t xml:space="preserve">3.2   Verification Interview</w:t>
      </w:r>
    </w:p>
    <w:p>
      <w:pPr>
        <w:spacing w:after="120" w:before="0" w:line="320"/>
      </w:pPr>
      <w:r>
        <w:rPr>
          <w:rFonts w:ascii="Calibri" w:cs="Calibri" w:eastAsia="Calibri" w:hAnsi="Calibri"/>
          <w:b/>
          <w:bCs/>
          <w:i w:val="false"/>
          <w:iCs w:val="false"/>
          <w:color w:val="202020"/>
          <w:sz w:val="22"/>
          <w:szCs w:val="22"/>
        </w:rPr>
        <w:t xml:space="preserve">Interview Date: </w:t>
      </w:r>
      <w:r>
        <w:rPr>
          <w:rFonts w:ascii="Calibri" w:cs="Calibri" w:eastAsia="Calibri" w:hAnsi="Calibri"/>
          <w:b w:val="false"/>
          <w:bCs w:val="false"/>
          <w:i/>
          <w:iCs/>
          <w:color w:val="6A7A92"/>
          <w:sz w:val="22"/>
          <w:szCs w:val="22"/>
        </w:rPr>
        <w:t xml:space="preserve">[ YYYY-MM-DD ]</w:t>
      </w:r>
    </w:p>
    <w:p>
      <w:pPr>
        <w:spacing w:after="120" w:before="0" w:line="320"/>
      </w:pPr>
      <w:r>
        <w:rPr>
          <w:rFonts w:ascii="Calibri" w:cs="Calibri" w:eastAsia="Calibri" w:hAnsi="Calibri"/>
          <w:b/>
          <w:bCs/>
          <w:i w:val="false"/>
          <w:iCs w:val="false"/>
          <w:color w:val="202020"/>
          <w:sz w:val="22"/>
          <w:szCs w:val="22"/>
        </w:rPr>
        <w:t xml:space="preserve">Operator Participants: </w:t>
      </w:r>
      <w:r>
        <w:rPr>
          <w:rFonts w:ascii="Calibri" w:cs="Calibri" w:eastAsia="Calibri" w:hAnsi="Calibri"/>
          <w:b w:val="false"/>
          <w:bCs w:val="false"/>
          <w:i/>
          <w:iCs/>
          <w:color w:val="6A7A92"/>
          <w:sz w:val="22"/>
          <w:szCs w:val="22"/>
        </w:rPr>
        <w:t xml:space="preserve">[ names, roles ]</w:t>
      </w:r>
    </w:p>
    <w:p>
      <w:pPr>
        <w:spacing w:after="120" w:before="0" w:line="320"/>
      </w:pPr>
      <w:r>
        <w:rPr>
          <w:rFonts w:ascii="Calibri" w:cs="Calibri" w:eastAsia="Calibri" w:hAnsi="Calibri"/>
          <w:b/>
          <w:bCs/>
          <w:i w:val="false"/>
          <w:iCs w:val="false"/>
          <w:color w:val="202020"/>
          <w:sz w:val="22"/>
          <w:szCs w:val="22"/>
        </w:rPr>
        <w:t xml:space="preserve">Duration: </w:t>
      </w:r>
      <w:r>
        <w:rPr>
          <w:rFonts w:ascii="Calibri" w:cs="Calibri" w:eastAsia="Calibri" w:hAnsi="Calibri"/>
          <w:b w:val="false"/>
          <w:bCs w:val="false"/>
          <w:i/>
          <w:iCs/>
          <w:color w:val="6A7A92"/>
          <w:sz w:val="22"/>
          <w:szCs w:val="22"/>
        </w:rPr>
        <w:t xml:space="preserve">[ N hours ]</w:t>
      </w:r>
    </w:p>
    <w:p>
      <w:pPr>
        <w:pStyle w:val="Heading2"/>
        <w:spacing w:after="140" w:before="280"/>
      </w:pPr>
      <w:r>
        <w:rPr>
          <w:rFonts w:ascii="Calibri" w:cs="Calibri" w:eastAsia="Calibri" w:hAnsi="Calibri"/>
          <w:b/>
          <w:bCs/>
          <w:color w:val="1B4070"/>
          <w:sz w:val="26"/>
          <w:szCs w:val="26"/>
        </w:rPr>
        <w:t xml:space="preserve">3.3   Classifications That Shifted</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Any reclassification after operator verification is recorded here with the operator’s reasoning. The shifts often surface tacit knowledge the practitioner could not have inferred from observation alone. Capturing the reasoning matters as much as recording the new classification.</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actions that shifted from "scaffolding" to "core wire" after verification, and why</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actions that shifted from "core wire" to "scaffolding" after verification, and why</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3.4   Final Consensus Boundary</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the verified classification of all actions from § 1, with consensus reached between practitioner and operator</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3.5   Disputed Classifications (if any)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Where the practitioner and operator could not reach consensus, the disputed classification is recorded as both views with the underlying reasoning. The audit does not force consensus; disputed classifications are flagged for the build phase to revisit.</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any classifications where practitioner and operator disagreed, with both views recorded</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4   Compilation Targets</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4.1   Triage Methodology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Of the verified scaffolding actions, which compile cleanly into deterministic routines? Triage along three axes: integration cost (low if APIs exist, high if scraping or manual integration required), regulatory exposure (low if no compliance footprint, high if HIPAA/PCI/SOX/etc. apply), and FTE leverage (low if displaces minimal labor, high if displaces a meaningful headcount). Priority emerges from the matrix.</w:t>
      </w:r>
    </w:p>
    <w:p>
      <w:pPr>
        <w:pStyle w:val="Heading2"/>
        <w:spacing w:after="140" w:before="280"/>
      </w:pPr>
      <w:r>
        <w:rPr>
          <w:rFonts w:ascii="Calibri" w:cs="Calibri" w:eastAsia="Calibri" w:hAnsi="Calibri"/>
          <w:b/>
          <w:bCs/>
          <w:color w:val="1B4070"/>
          <w:sz w:val="26"/>
          <w:szCs w:val="26"/>
        </w:rPr>
        <w:t xml:space="preserve">4.2   Triage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1500"/>
        <w:gridCol w:w="1500"/>
        <w:gridCol w:w="1500"/>
        <w:gridCol w:w="2160"/>
      </w:tblGrid>
      <w:tr>
        <w:tc>
          <w:tcPr>
            <w:tcW w:type="dxa" w:w="27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Compilation Target</w:t>
            </w:r>
          </w:p>
        </w:tc>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Integration Cost</w:t>
            </w:r>
          </w:p>
        </w:tc>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Reg. Exposure</w:t>
            </w:r>
          </w:p>
        </w:tc>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FTE Leverage</w:t>
            </w:r>
          </w:p>
        </w:tc>
        <w:tc>
          <w:tcPr>
            <w:tcW w:type="dxa" w:w="21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Priority</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r>
        <w:tc>
          <w:tcPr>
            <w:tcW w:type="dxa" w:w="2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rank 1 / 2 / 3 ]</w:t>
            </w:r>
          </w:p>
        </w:tc>
      </w:tr>
    </w:tbl>
    <w:p>
      <w:pPr>
        <w:spacing w:after="80"/>
      </w:pP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Priority ranking should be explicit (1, 2, 3...) rather than tiered (high / medium / low). The CFO reads the ranking; the operator confirms it. Disagreements between practitioner and operator on priority are resolved before the audit ships.</w:t>
      </w:r>
    </w:p>
    <w:p>
      <w:pPr>
        <w:pStyle w:val="Heading2"/>
        <w:spacing w:after="140" w:before="280"/>
      </w:pPr>
      <w:r>
        <w:rPr>
          <w:rFonts w:ascii="Calibri" w:cs="Calibri" w:eastAsia="Calibri" w:hAnsi="Calibri"/>
          <w:b/>
          <w:bCs/>
          <w:color w:val="1B4070"/>
          <w:sz w:val="26"/>
          <w:szCs w:val="26"/>
        </w:rPr>
        <w:t xml:space="preserve">4.3   Recommended Targets for Compilation</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compilation targets the practitioner recommends pursuing, in priority order</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4.4   Targets Explicitly Deferred</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compilation targets the practitioner recommends NOT pursuing now, and why</w:t>
      </w:r>
      <w:r>
        <w:rPr>
          <w:rFonts w:ascii="Calibri" w:cs="Calibri" w:eastAsia="Calibri" w:hAnsi="Calibri"/>
          <w:b/>
          <w:bCs/>
          <w:color w:val="6A7A92"/>
          <w:sz w:val="22"/>
          <w:szCs w:val="22"/>
        </w:rPr>
        <w:t xml:space="preserve"> ]</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Explicit deferral is as valuable as recommendation. Targets deferred for cause should include the cause and the conditions under which they would be revisited. Targets that "didn’t make the cut" without explicit reasoning are warning signs in the deliverable.</w:t>
      </w:r>
    </w:p>
    <w:p>
      <w:r>
        <w:br w:type="page"/>
      </w:r>
    </w:p>
    <w:p>
      <w:pPr>
        <w:pStyle w:val="Heading1"/>
        <w:spacing w:after="200" w:before="360"/>
      </w:pPr>
      <w:r>
        <w:rPr>
          <w:rFonts w:ascii="Calibri" w:cs="Calibri" w:eastAsia="Calibri" w:hAnsi="Calibri"/>
          <w:b/>
          <w:bCs/>
          <w:color w:val="0F2A4A"/>
          <w:sz w:val="32"/>
          <w:szCs w:val="32"/>
        </w:rPr>
        <w:t xml:space="preserve">§ 5   FTE-Displacement Math</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5.1   Calculation Methodology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FTE-displacement is calculated per compilation target as (hours per year currently spent on the action) × (loaded hourly rate of the labor performing it). Loaded rate includes salary, benefits, taxes, overhead, opportunity cost. Confidence intervals reflect (a) measurement uncertainty in hours-per-year, (b) loaded rate uncertainty for the specific labor pool, and (c) automation-coverage uncertainty (what fraction of the action the automation actually displaces).</w:t>
      </w:r>
    </w:p>
    <w:p>
      <w:pPr>
        <w:pBdr>
          <w:left w:val="single" w:color="0EA5E9" w:sz="18" w:space="12"/>
        </w:pBdr>
        <w:spacing w:after="220" w:before="220" w:line="360"/>
        <w:ind w:left="360" w:right="360"/>
      </w:pPr>
      <w:r>
        <w:rPr>
          <w:rFonts w:ascii="Calibri" w:cs="Calibri" w:eastAsia="Calibri" w:hAnsi="Calibri"/>
          <w:i/>
          <w:iCs/>
          <w:color w:val="1B4070"/>
          <w:sz w:val="24"/>
          <w:szCs w:val="24"/>
        </w:rPr>
        <w:t xml:space="preserve">A $200,000-loaded headcount displaced by a $40,000 annual deployment yields $160,000 in customer savings. The math is operations-research standard.</w:t>
      </w:r>
    </w:p>
    <w:p>
      <w:pPr>
        <w:pStyle w:val="Heading2"/>
        <w:spacing w:after="140" w:before="280"/>
      </w:pPr>
      <w:r>
        <w:rPr>
          <w:rFonts w:ascii="Calibri" w:cs="Calibri" w:eastAsia="Calibri" w:hAnsi="Calibri"/>
          <w:b/>
          <w:bCs/>
          <w:color w:val="1B4070"/>
          <w:sz w:val="26"/>
          <w:szCs w:val="26"/>
        </w:rPr>
        <w:t xml:space="preserve">5.2   Per-Target Calculation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1700"/>
        <w:gridCol w:w="1700"/>
        <w:gridCol w:w="1860"/>
      </w:tblGrid>
      <w:tr>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Compilation Target</w:t>
            </w:r>
          </w:p>
        </w:tc>
        <w:tc>
          <w:tcPr>
            <w:tcW w:type="dxa" w:w="17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Hours / Year Saved</w:t>
            </w:r>
          </w:p>
        </w:tc>
        <w:tc>
          <w:tcPr>
            <w:tcW w:type="dxa" w:w="17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Loaded Rate</w:t>
            </w:r>
          </w:p>
        </w:tc>
        <w:tc>
          <w:tcPr>
            <w:tcW w:type="dxa" w:w="17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FTE-Displacement Range</w:t>
            </w:r>
          </w:p>
        </w:tc>
        <w:tc>
          <w:tcPr>
            <w:tcW w:type="dxa" w:w="18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Confidence Interval</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hrs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___ /hr ]</w:t>
            </w:r>
          </w:p>
        </w:tc>
        <w:tc>
          <w:tcPr>
            <w:tcW w:type="dxa" w:w="17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low – high ]</w:t>
            </w:r>
          </w:p>
        </w:tc>
        <w:tc>
          <w:tcPr>
            <w:tcW w:type="dxa" w:w="18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range ]</w:t>
            </w:r>
          </w:p>
        </w:tc>
      </w:tr>
      <w:tr>
        <w:tc>
          <w:tcPr>
            <w:tcW w:type="dxa" w:w="24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F2A4A"/>
                <w:sz w:val="19"/>
                <w:szCs w:val="19"/>
              </w:rPr>
              <w:t xml:space="preserve">Aggregate Displacement</w:t>
            </w:r>
          </w:p>
        </w:tc>
        <w:tc>
          <w:tcPr>
            <w:tcW w:type="dxa" w:w="17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F2A4A"/>
                <w:sz w:val="19"/>
                <w:szCs w:val="19"/>
              </w:rPr>
              <w:t xml:space="preserve">[ sum hrs ]</w:t>
            </w:r>
          </w:p>
        </w:tc>
        <w:tc>
          <w:tcPr>
            <w:tcW w:type="dxa" w:w="17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val="false"/>
                <w:bCs w:val="false"/>
                <w:i w:val="false"/>
                <w:iCs w:val="false"/>
                <w:color w:val="202020"/>
                <w:sz w:val="19"/>
                <w:szCs w:val="19"/>
              </w:rPr>
              <w:t xml:space="preserve">—</w:t>
            </w:r>
          </w:p>
        </w:tc>
        <w:tc>
          <w:tcPr>
            <w:tcW w:type="dxa" w:w="17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 ____ ]</w:t>
            </w:r>
          </w:p>
        </w:tc>
        <w:tc>
          <w:tcPr>
            <w:tcW w:type="dxa" w:w="186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202020"/>
                <w:sz w:val="19"/>
                <w:szCs w:val="19"/>
              </w:rPr>
              <w:t xml:space="preserve">[ aggregated ]</w:t>
            </w:r>
          </w:p>
        </w:tc>
      </w:tr>
    </w:tbl>
    <w:p>
      <w:pPr>
        <w:spacing w:after="80"/>
      </w:pPr>
    </w:p>
    <w:p>
      <w:pPr>
        <w:pStyle w:val="Heading2"/>
        <w:spacing w:after="140" w:before="280"/>
      </w:pPr>
      <w:r>
        <w:rPr>
          <w:rFonts w:ascii="Calibri" w:cs="Calibri" w:eastAsia="Calibri" w:hAnsi="Calibri"/>
          <w:b/>
          <w:bCs/>
          <w:color w:val="1B4070"/>
          <w:sz w:val="26"/>
          <w:szCs w:val="26"/>
        </w:rPr>
        <w:t xml:space="preserve">5.3   Aggregate Displacement</w:t>
      </w:r>
    </w:p>
    <w:p>
      <w:pPr>
        <w:spacing w:after="120" w:before="0" w:line="320"/>
      </w:pPr>
      <w:r>
        <w:rPr>
          <w:rFonts w:ascii="Calibri" w:cs="Calibri" w:eastAsia="Calibri" w:hAnsi="Calibri"/>
          <w:b/>
          <w:bCs/>
          <w:i w:val="false"/>
          <w:iCs w:val="false"/>
          <w:color w:val="202020"/>
          <w:sz w:val="22"/>
          <w:szCs w:val="22"/>
        </w:rPr>
        <w:t xml:space="preserve">Aggregate Year-1 Labor Displacement: $</w:t>
      </w:r>
      <w:r>
        <w:rPr>
          <w:rFonts w:ascii="Calibri" w:cs="Calibri" w:eastAsia="Calibri" w:hAnsi="Calibri"/>
          <w:b/>
          <w:bCs/>
          <w:i/>
          <w:iCs/>
          <w:color w:val="0EA5E9"/>
          <w:sz w:val="22"/>
          <w:szCs w:val="22"/>
        </w:rPr>
        <w:t xml:space="preserve">[ low ]</w:t>
      </w:r>
      <w:r>
        <w:rPr>
          <w:rFonts w:ascii="Calibri" w:cs="Calibri" w:eastAsia="Calibri" w:hAnsi="Calibri"/>
          <w:b/>
          <w:bCs/>
          <w:i w:val="false"/>
          <w:iCs w:val="false"/>
          <w:color w:val="202020"/>
          <w:sz w:val="22"/>
          <w:szCs w:val="22"/>
        </w:rPr>
        <w:t xml:space="preserve"> to $</w:t>
      </w:r>
      <w:r>
        <w:rPr>
          <w:rFonts w:ascii="Calibri" w:cs="Calibri" w:eastAsia="Calibri" w:hAnsi="Calibri"/>
          <w:b/>
          <w:bCs/>
          <w:i/>
          <w:iCs/>
          <w:color w:val="0EA5E9"/>
          <w:sz w:val="22"/>
          <w:szCs w:val="22"/>
        </w:rPr>
        <w:t xml:space="preserve">[ high ]</w:t>
      </w:r>
    </w:p>
    <w:p>
      <w:pPr>
        <w:spacing w:after="120" w:before="0" w:line="320"/>
      </w:pPr>
      <w:r>
        <w:rPr>
          <w:rFonts w:ascii="Calibri" w:cs="Calibri" w:eastAsia="Calibri" w:hAnsi="Calibri"/>
          <w:b/>
          <w:bCs/>
          <w:i w:val="false"/>
          <w:iCs w:val="false"/>
          <w:color w:val="202020"/>
          <w:sz w:val="22"/>
          <w:szCs w:val="22"/>
        </w:rPr>
        <w:t xml:space="preserve">Aggregate Hours/Year Saved: </w:t>
      </w:r>
      <w:r>
        <w:rPr>
          <w:rFonts w:ascii="Calibri" w:cs="Calibri" w:eastAsia="Calibri" w:hAnsi="Calibri"/>
          <w:b w:val="false"/>
          <w:bCs w:val="false"/>
          <w:i/>
          <w:iCs/>
          <w:color w:val="6A7A92"/>
          <w:sz w:val="22"/>
          <w:szCs w:val="22"/>
        </w:rPr>
        <w:t xml:space="preserve">[ low ] to [ high ] hours</w:t>
      </w:r>
    </w:p>
    <w:p>
      <w:pPr>
        <w:spacing w:after="120" w:before="0" w:line="320"/>
      </w:pPr>
      <w:r>
        <w:rPr>
          <w:rFonts w:ascii="Calibri" w:cs="Calibri" w:eastAsia="Calibri" w:hAnsi="Calibri"/>
          <w:b/>
          <w:bCs/>
          <w:i w:val="false"/>
          <w:iCs w:val="false"/>
          <w:color w:val="202020"/>
          <w:sz w:val="22"/>
          <w:szCs w:val="22"/>
        </w:rPr>
        <w:t xml:space="preserve">Aggregate Confidence: </w:t>
      </w:r>
      <w:r>
        <w:rPr>
          <w:rFonts w:ascii="Calibri" w:cs="Calibri" w:eastAsia="Calibri" w:hAnsi="Calibri"/>
          <w:b w:val="false"/>
          <w:bCs w:val="false"/>
          <w:i/>
          <w:iCs/>
          <w:color w:val="6A7A92"/>
          <w:sz w:val="22"/>
          <w:szCs w:val="22"/>
        </w:rPr>
        <w:t xml:space="preserve">[ % range ]</w:t>
      </w:r>
    </w:p>
    <w:p>
      <w:pPr>
        <w:pStyle w:val="Heading2"/>
        <w:spacing w:after="140" w:before="280"/>
      </w:pPr>
      <w:r>
        <w:rPr>
          <w:rFonts w:ascii="Calibri" w:cs="Calibri" w:eastAsia="Calibri" w:hAnsi="Calibri"/>
          <w:b/>
          <w:bCs/>
          <w:color w:val="1B4070"/>
          <w:sz w:val="26"/>
          <w:szCs w:val="26"/>
        </w:rPr>
        <w:t xml:space="preserve">5.4   Sensitivity Analysis</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Aggregate sensitivity to the three primary uncertainty drivers. Lists the assumptions most likely to be wrong and the resulting impact on the aggregate displacement number. The CFO reads sensitivity to validate that the headline number is robust under plausible parameter variation.</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assumption is most uncertain, and what happens to the aggregate if it shifts ±20%</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compilation target the aggregate is most sensitive to</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which assumption is least uncertain (highest confidence), useful for the operator’s risk assessment</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6   Architecture Sketch</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6.1   Methodology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For each compilation target recommended in § 4, sketch the minimum architecture required to deploy it as a deterministic routine. The sketch is not a build specification — it is the level of detail the CFO needs to evaluate cost and the engineer needs to estimate effort. Build specifications happen in Tier 2 (Build &amp; Deploy).</w:t>
      </w:r>
    </w:p>
    <w:p>
      <w:pPr>
        <w:pStyle w:val="Heading2"/>
        <w:spacing w:after="140" w:before="280"/>
      </w:pPr>
      <w:r>
        <w:rPr>
          <w:rFonts w:ascii="Calibri" w:cs="Calibri" w:eastAsia="Calibri" w:hAnsi="Calibri"/>
          <w:b/>
          <w:bCs/>
          <w:color w:val="1B4070"/>
          <w:sz w:val="26"/>
          <w:szCs w:val="26"/>
        </w:rPr>
        <w:t xml:space="preserve">6.2   Per-Target Architecture</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Repeat the following structure for each compilation target. The structure forces the practitioner to explicitly address API pathways, fail-closed defaults, observability, and governance hooks for each target. Skipping any element of the structure is a warning sign.</w:t>
      </w:r>
    </w:p>
    <w:p>
      <w:pPr>
        <w:pStyle w:val="Heading3"/>
        <w:spacing w:after="100" w:before="200"/>
      </w:pPr>
      <w:r>
        <w:rPr>
          <w:rFonts w:ascii="Calibri" w:cs="Calibri" w:eastAsia="Calibri" w:hAnsi="Calibri"/>
          <w:b/>
          <w:bCs/>
          <w:color w:val="202020"/>
          <w:sz w:val="23"/>
          <w:szCs w:val="23"/>
        </w:rPr>
        <w:t xml:space="preserve">Compilation Target #1</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target description and goal</w:t>
      </w:r>
      <w:r>
        <w:rPr>
          <w:rFonts w:ascii="Calibri" w:cs="Calibri" w:eastAsia="Calibri" w:hAnsi="Calibri"/>
          <w:b/>
          <w:bCs/>
          <w:color w:val="6A7A92"/>
          <w:sz w:val="22"/>
          <w:szCs w:val="22"/>
        </w:rPr>
        <w:t xml:space="preserve"> ]</w:t>
      </w:r>
    </w:p>
    <w:p>
      <w:pPr>
        <w:spacing w:after="120" w:before="0" w:line="320"/>
      </w:pPr>
      <w:r>
        <w:rPr>
          <w:rFonts w:ascii="Calibri" w:cs="Calibri" w:eastAsia="Calibri" w:hAnsi="Calibri"/>
          <w:b/>
          <w:bCs/>
          <w:i w:val="false"/>
          <w:iCs w:val="false"/>
          <w:color w:val="202020"/>
          <w:sz w:val="22"/>
          <w:szCs w:val="22"/>
        </w:rPr>
        <w:t xml:space="preserve">API Pathways: </w:t>
      </w:r>
      <w:r>
        <w:rPr>
          <w:rFonts w:ascii="Calibri" w:cs="Calibri" w:eastAsia="Calibri" w:hAnsi="Calibri"/>
          <w:b w:val="false"/>
          <w:bCs w:val="false"/>
          <w:i/>
          <w:iCs/>
          <w:color w:val="6A7A92"/>
          <w:sz w:val="22"/>
          <w:szCs w:val="22"/>
        </w:rPr>
        <w:t xml:space="preserve">[ authorized API endpoints, OAuth scopes, rate limits ]</w:t>
      </w:r>
    </w:p>
    <w:p>
      <w:pPr>
        <w:spacing w:after="120" w:before="0" w:line="320"/>
      </w:pPr>
      <w:r>
        <w:rPr>
          <w:rFonts w:ascii="Calibri" w:cs="Calibri" w:eastAsia="Calibri" w:hAnsi="Calibri"/>
          <w:b/>
          <w:bCs/>
          <w:i w:val="false"/>
          <w:iCs w:val="false"/>
          <w:color w:val="202020"/>
          <w:sz w:val="22"/>
          <w:szCs w:val="22"/>
        </w:rPr>
        <w:t xml:space="preserve">Data Flow: </w:t>
      </w:r>
      <w:r>
        <w:rPr>
          <w:rFonts w:ascii="Calibri" w:cs="Calibri" w:eastAsia="Calibri" w:hAnsi="Calibri"/>
          <w:b w:val="false"/>
          <w:bCs w:val="false"/>
          <w:i/>
          <w:iCs/>
          <w:color w:val="6A7A92"/>
          <w:sz w:val="22"/>
          <w:szCs w:val="22"/>
        </w:rPr>
        <w:t xml:space="preserve">[ source → routine → destination ]</w:t>
      </w:r>
    </w:p>
    <w:p>
      <w:pPr>
        <w:spacing w:after="120" w:before="0" w:line="320"/>
      </w:pPr>
      <w:r>
        <w:rPr>
          <w:rFonts w:ascii="Calibri" w:cs="Calibri" w:eastAsia="Calibri" w:hAnsi="Calibri"/>
          <w:b/>
          <w:bCs/>
          <w:i w:val="false"/>
          <w:iCs w:val="false"/>
          <w:color w:val="202020"/>
          <w:sz w:val="22"/>
          <w:szCs w:val="22"/>
        </w:rPr>
        <w:t xml:space="preserve">Fail-Closed Defaults: </w:t>
      </w:r>
      <w:r>
        <w:rPr>
          <w:rFonts w:ascii="Calibri" w:cs="Calibri" w:eastAsia="Calibri" w:hAnsi="Calibri"/>
          <w:b w:val="false"/>
          <w:bCs w:val="false"/>
          <w:i/>
          <w:iCs/>
          <w:color w:val="6A7A92"/>
          <w:sz w:val="22"/>
          <w:szCs w:val="22"/>
        </w:rPr>
        <w:t xml:space="preserve">[ what happens when AI confidence is low ]</w:t>
      </w:r>
    </w:p>
    <w:p>
      <w:pPr>
        <w:spacing w:after="120" w:before="0" w:line="320"/>
      </w:pPr>
      <w:r>
        <w:rPr>
          <w:rFonts w:ascii="Calibri" w:cs="Calibri" w:eastAsia="Calibri" w:hAnsi="Calibri"/>
          <w:b/>
          <w:bCs/>
          <w:i w:val="false"/>
          <w:iCs w:val="false"/>
          <w:color w:val="202020"/>
          <w:sz w:val="22"/>
          <w:szCs w:val="22"/>
        </w:rPr>
        <w:t xml:space="preserve">Observability Surface: </w:t>
      </w:r>
      <w:r>
        <w:rPr>
          <w:rFonts w:ascii="Calibri" w:cs="Calibri" w:eastAsia="Calibri" w:hAnsi="Calibri"/>
          <w:b w:val="false"/>
          <w:bCs w:val="false"/>
          <w:i/>
          <w:iCs/>
          <w:color w:val="6A7A92"/>
          <w:sz w:val="22"/>
          <w:szCs w:val="22"/>
        </w:rPr>
        <w:t xml:space="preserve">[ logs, metrics, alerts, audit trail destination ]</w:t>
      </w:r>
    </w:p>
    <w:p>
      <w:pPr>
        <w:spacing w:after="120" w:before="0" w:line="320"/>
      </w:pPr>
      <w:r>
        <w:rPr>
          <w:rFonts w:ascii="Calibri" w:cs="Calibri" w:eastAsia="Calibri" w:hAnsi="Calibri"/>
          <w:b/>
          <w:bCs/>
          <w:i w:val="false"/>
          <w:iCs w:val="false"/>
          <w:color w:val="202020"/>
          <w:sz w:val="22"/>
          <w:szCs w:val="22"/>
        </w:rPr>
        <w:t xml:space="preserve">Governance Hooks: </w:t>
      </w:r>
      <w:r>
        <w:rPr>
          <w:rFonts w:ascii="Calibri" w:cs="Calibri" w:eastAsia="Calibri" w:hAnsi="Calibri"/>
          <w:b w:val="false"/>
          <w:bCs w:val="false"/>
          <w:i/>
          <w:iCs/>
          <w:color w:val="6A7A92"/>
          <w:sz w:val="22"/>
          <w:szCs w:val="22"/>
        </w:rPr>
        <w:t xml:space="preserve">[ override mechanism, escalation path, sampling rate for human review ]</w:t>
      </w:r>
    </w:p>
    <w:p>
      <w:pPr>
        <w:spacing w:after="120" w:before="0" w:line="320"/>
      </w:pPr>
      <w:r>
        <w:rPr>
          <w:rFonts w:ascii="Calibri" w:cs="Calibri" w:eastAsia="Calibri" w:hAnsi="Calibri"/>
          <w:b/>
          <w:bCs/>
          <w:i w:val="false"/>
          <w:iCs w:val="false"/>
          <w:color w:val="202020"/>
          <w:sz w:val="22"/>
          <w:szCs w:val="22"/>
        </w:rPr>
        <w:t xml:space="preserve">Estimated Build Effort: </w:t>
      </w:r>
      <w:r>
        <w:rPr>
          <w:rFonts w:ascii="Calibri" w:cs="Calibri" w:eastAsia="Calibri" w:hAnsi="Calibri"/>
          <w:b w:val="false"/>
          <w:bCs w:val="false"/>
          <w:i/>
          <w:iCs/>
          <w:color w:val="6A7A92"/>
          <w:sz w:val="22"/>
          <w:szCs w:val="22"/>
        </w:rPr>
        <w:t xml:space="preserve">[ engineer-weeks, range ]</w:t>
      </w:r>
    </w:p>
    <w:p>
      <w:pPr>
        <w:spacing w:after="80"/>
      </w:pPr>
    </w:p>
    <w:p>
      <w:pPr>
        <w:pStyle w:val="Heading3"/>
        <w:spacing w:after="100" w:before="200"/>
      </w:pPr>
      <w:r>
        <w:rPr>
          <w:rFonts w:ascii="Calibri" w:cs="Calibri" w:eastAsia="Calibri" w:hAnsi="Calibri"/>
          <w:b/>
          <w:bCs/>
          <w:color w:val="202020"/>
          <w:sz w:val="23"/>
          <w:szCs w:val="23"/>
        </w:rPr>
        <w:t xml:space="preserve">Compilation Target #2</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 Repeat structure above for each recommended compilation target ]</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6.3   Cross-Target Architecture Considerations</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shared infrastructure across compilation targets (auth, observability, deployment pipeline)</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integration points with existing client systems and compatibility constraints</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handover documentation requirements for the build phase</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7   Risk &amp; Abort Criteria</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7.1   Risk Methodology</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Every recommended compilation target has risks. The risk register lists risks the practitioner can identify, with calibrated probability, impact assessment, mitigation strategy, and an abort criterion — the specific condition under which the build engagement should be cancelled before it ships. Honest risk articulation is a feature; suppressing risks to win the engagement is the failure mode.</w:t>
      </w:r>
    </w:p>
    <w:p>
      <w:pPr>
        <w:pStyle w:val="Heading2"/>
        <w:spacing w:after="140" w:before="280"/>
      </w:pPr>
      <w:r>
        <w:rPr>
          <w:rFonts w:ascii="Calibri" w:cs="Calibri" w:eastAsia="Calibri" w:hAnsi="Calibri"/>
          <w:b/>
          <w:bCs/>
          <w:color w:val="1B4070"/>
          <w:sz w:val="26"/>
          <w:szCs w:val="26"/>
        </w:rPr>
        <w:t xml:space="preserve">7.2   Risk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2200"/>
        <w:gridCol w:w="1760"/>
      </w:tblGrid>
      <w:tr>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Risk</w:t>
            </w:r>
          </w:p>
        </w:tc>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Probability</w:t>
            </w:r>
          </w:p>
        </w:tc>
        <w:tc>
          <w:tcPr>
            <w:tcW w:type="dxa" w:w="15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Impact</w:t>
            </w:r>
          </w:p>
        </w:tc>
        <w:tc>
          <w:tcPr>
            <w:tcW w:type="dxa" w:w="22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Mitigation</w:t>
            </w:r>
          </w:p>
        </w:tc>
        <w:tc>
          <w:tcPr>
            <w:tcW w:type="dxa" w:w="17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Abort Criterion</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risk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mitigation strategy ]</w:t>
            </w:r>
          </w:p>
        </w:tc>
        <w:tc>
          <w:tcPr>
            <w:tcW w:type="dxa" w:w="17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trigger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risk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mitigation strategy ]</w:t>
            </w:r>
          </w:p>
        </w:tc>
        <w:tc>
          <w:tcPr>
            <w:tcW w:type="dxa" w:w="17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trigger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risk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mitigation strategy ]</w:t>
            </w:r>
          </w:p>
        </w:tc>
        <w:tc>
          <w:tcPr>
            <w:tcW w:type="dxa" w:w="17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trigger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risk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mitigation strategy ]</w:t>
            </w:r>
          </w:p>
        </w:tc>
        <w:tc>
          <w:tcPr>
            <w:tcW w:type="dxa" w:w="17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trigger ]</w:t>
            </w:r>
          </w:p>
        </w:tc>
      </w:tr>
      <w:tr>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risk description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15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L / M / H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mitigation strategy ]</w:t>
            </w:r>
          </w:p>
        </w:tc>
        <w:tc>
          <w:tcPr>
            <w:tcW w:type="dxa" w:w="17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trigger ]</w:t>
            </w:r>
          </w:p>
        </w:tc>
      </w:tr>
    </w:tbl>
    <w:p>
      <w:pPr>
        <w:spacing w:after="80"/>
      </w:pPr>
    </w:p>
    <w:p>
      <w:pPr>
        <w:pStyle w:val="Heading2"/>
        <w:spacing w:after="140" w:before="280"/>
      </w:pPr>
      <w:r>
        <w:rPr>
          <w:rFonts w:ascii="Calibri" w:cs="Calibri" w:eastAsia="Calibri" w:hAnsi="Calibri"/>
          <w:b/>
          <w:bCs/>
          <w:color w:val="1B4070"/>
          <w:sz w:val="26"/>
          <w:szCs w:val="26"/>
        </w:rPr>
        <w:t xml:space="preserve">7.3   Aggregate Risk Assessment</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overall risk profile of the recommended portfolio of compilation targets</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highest-impact risk and its mitigation</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risks the practitioner cannot mitigate (residual risk that the operator accepts)</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7.4   Abort Criteria Summary</w:t>
      </w:r>
    </w:p>
    <w:p>
      <w:pPr>
        <w:pBdr>
          <w:left w:val="single" w:color="0EA5E9" w:sz="18" w:space="12"/>
        </w:pBdr>
        <w:spacing w:after="220" w:before="220" w:line="360"/>
        <w:ind w:left="360" w:right="360"/>
      </w:pPr>
      <w:r>
        <w:rPr>
          <w:rFonts w:ascii="Calibri" w:cs="Calibri" w:eastAsia="Calibri" w:hAnsi="Calibri"/>
          <w:i/>
          <w:iCs/>
          <w:color w:val="1B4070"/>
          <w:sz w:val="24"/>
          <w:szCs w:val="24"/>
        </w:rPr>
        <w:t xml:space="preserve">The build engagement should be cancelled before it ships if any of the abort criteria fire. The abort criteria are explicit, measurable, and pre-committed.</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the consolidated list of abort criteria across all compilation targets</w:t>
      </w:r>
      <w:r>
        <w:rPr>
          <w:rFonts w:ascii="Calibri" w:cs="Calibri" w:eastAsia="Calibri" w:hAnsi="Calibri"/>
          <w:b/>
          <w:bCs/>
          <w:color w:val="6A7A92"/>
          <w:sz w:val="22"/>
          <w:szCs w:val="22"/>
        </w:rPr>
        <w:t xml:space="preserve"> ]</w:t>
      </w:r>
    </w:p>
    <w:p>
      <w:r>
        <w:br w:type="page"/>
      </w:r>
    </w:p>
    <w:p>
      <w:pPr>
        <w:pStyle w:val="Heading1"/>
        <w:spacing w:after="200" w:before="360"/>
      </w:pPr>
      <w:r>
        <w:rPr>
          <w:rFonts w:ascii="Calibri" w:cs="Calibri" w:eastAsia="Calibri" w:hAnsi="Calibri"/>
          <w:b/>
          <w:bCs/>
          <w:color w:val="0F2A4A"/>
          <w:sz w:val="32"/>
          <w:szCs w:val="32"/>
        </w:rPr>
        <w:t xml:space="preserve">§ 8   Roadmap &amp; Decisions</w:t>
      </w:r>
    </w:p>
    <w:p>
      <w:pPr>
        <w:pBdr>
          <w:bottom w:val="single" w:color="0EA5E9" w:sz="6" w:space="1"/>
        </w:pBdr>
        <w:spacing w:after="200" w:before="100"/>
      </w:pPr>
    </w:p>
    <w:p>
      <w:pPr>
        <w:pStyle w:val="Heading2"/>
        <w:spacing w:after="140" w:before="280"/>
      </w:pPr>
      <w:r>
        <w:rPr>
          <w:rFonts w:ascii="Calibri" w:cs="Calibri" w:eastAsia="Calibri" w:hAnsi="Calibri"/>
          <w:b/>
          <w:bCs/>
          <w:color w:val="1B4070"/>
          <w:sz w:val="26"/>
          <w:szCs w:val="26"/>
        </w:rPr>
        <w:t xml:space="preserve">8.1   Build Sequence</w:t>
      </w:r>
    </w:p>
    <w:p>
      <w:pPr>
        <w:pBdr>
          <w:left w:val="single" w:color="0EA5E9" w:sz="12" w:space="12"/>
        </w:pBdr>
        <w:spacing w:after="160" w:before="80" w:line="300"/>
        <w:ind w:left="280" w:right="280"/>
      </w:pPr>
      <w:r>
        <w:rPr>
          <w:rFonts w:ascii="Calibri" w:cs="Calibri" w:eastAsia="Calibri" w:hAnsi="Calibri"/>
          <w:i/>
          <w:iCs/>
          <w:color w:val="4A5A75"/>
          <w:sz w:val="20"/>
          <w:szCs w:val="20"/>
        </w:rPr>
        <w:t xml:space="preserve">Recommended phasing for the Tier 2 build engagement. Each phase has explicit information gates — specific data the operator and practitioner agree to collect before proceeding to the next phase. The information gates protect against committing capital to phases whose preconditions have not been validated.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400"/>
        <w:gridCol w:w="3160"/>
      </w:tblGrid>
      <w:tr>
        <w:tc>
          <w:tcPr>
            <w:tcW w:type="dxa" w:w="1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Phase</w:t>
            </w:r>
          </w:p>
        </w:tc>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Build Sequence</w:t>
            </w:r>
          </w:p>
        </w:tc>
        <w:tc>
          <w:tcPr>
            <w:tcW w:type="dxa" w:w="24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Information Gate</w:t>
            </w:r>
          </w:p>
        </w:tc>
        <w:tc>
          <w:tcPr>
            <w:tcW w:type="dxa" w:w="31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Go / No-Go Criterion</w:t>
            </w:r>
          </w:p>
        </w:tc>
      </w:tr>
      <w:tr>
        <w:tc>
          <w:tcPr>
            <w:tcW w:type="dxa" w:w="14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F2A4A"/>
                <w:sz w:val="19"/>
                <w:szCs w:val="19"/>
              </w:rPr>
              <w:t xml:space="preserve">Phase 1</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targets to build ]</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what data triggers next ]</w:t>
            </w:r>
          </w:p>
        </w:tc>
        <w:tc>
          <w:tcPr>
            <w:tcW w:type="dxa" w:w="3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pass / fail criterion ]</w:t>
            </w:r>
          </w:p>
        </w:tc>
      </w:tr>
      <w:tr>
        <w:tc>
          <w:tcPr>
            <w:tcW w:type="dxa" w:w="14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F2A4A"/>
                <w:sz w:val="19"/>
                <w:szCs w:val="19"/>
              </w:rPr>
              <w:t xml:space="preserve">Phase 2</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targets to build ]</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what data triggers next ]</w:t>
            </w:r>
          </w:p>
        </w:tc>
        <w:tc>
          <w:tcPr>
            <w:tcW w:type="dxa" w:w="3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pass / fail criterion ]</w:t>
            </w:r>
          </w:p>
        </w:tc>
      </w:tr>
      <w:tr>
        <w:tc>
          <w:tcPr>
            <w:tcW w:type="dxa" w:w="14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F2A4A"/>
                <w:sz w:val="19"/>
                <w:szCs w:val="19"/>
              </w:rPr>
              <w:t xml:space="preserve">Phase 3</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targets to build ]</w:t>
            </w:r>
          </w:p>
        </w:tc>
        <w:tc>
          <w:tcPr>
            <w:tcW w:type="dxa" w:w="24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what data triggers next ]</w:t>
            </w:r>
          </w:p>
        </w:tc>
        <w:tc>
          <w:tcPr>
            <w:tcW w:type="dxa" w:w="31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pass / fail criterion ]</w:t>
            </w:r>
          </w:p>
        </w:tc>
      </w:tr>
    </w:tbl>
    <w:p>
      <w:pPr>
        <w:spacing w:after="80"/>
      </w:pPr>
    </w:p>
    <w:p>
      <w:pPr>
        <w:pStyle w:val="Heading2"/>
        <w:spacing w:after="140" w:before="280"/>
      </w:pPr>
      <w:r>
        <w:rPr>
          <w:rFonts w:ascii="Calibri" w:cs="Calibri" w:eastAsia="Calibri" w:hAnsi="Calibri"/>
          <w:b/>
          <w:bCs/>
          <w:color w:val="1B4070"/>
          <w:sz w:val="26"/>
          <w:szCs w:val="26"/>
        </w:rPr>
        <w:t xml:space="preserve">8.2   Information Gates</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what data triggers proceeding from Phase 1 to Phase 2</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what data triggers cancelling Phase 2</w:t>
      </w:r>
      <w:r>
        <w:rPr>
          <w:rFonts w:ascii="Calibri" w:cs="Calibri" w:eastAsia="Calibri" w:hAnsi="Calibri"/>
          <w:b/>
          <w:bCs/>
          <w:color w:val="6A7A92"/>
          <w:sz w:val="22"/>
          <w:szCs w:val="22"/>
        </w:rPr>
        <w:t xml:space="preserve"> ]</w:t>
      </w:r>
    </w:p>
    <w:p>
      <w:pPr>
        <w:spacing w:after="120" w:before="60" w:line="320"/>
      </w:pPr>
      <w:r>
        <w:rPr>
          <w:rFonts w:ascii="Calibri" w:cs="Calibri" w:eastAsia="Calibri" w:hAnsi="Calibri"/>
          <w:b/>
          <w:bCs/>
          <w:color w:val="6A7A92"/>
          <w:sz w:val="22"/>
          <w:szCs w:val="22"/>
        </w:rPr>
        <w:t xml:space="preserve">[ </w:t>
      </w:r>
      <w:r>
        <w:rPr>
          <w:rFonts w:ascii="Calibri" w:cs="Calibri" w:eastAsia="Calibri" w:hAnsi="Calibri"/>
          <w:i/>
          <w:iCs/>
          <w:color w:val="6A7A92"/>
          <w:sz w:val="22"/>
          <w:szCs w:val="22"/>
        </w:rPr>
        <w:t xml:space="preserve">Narrative: who collects the data and over what period</w:t>
      </w:r>
      <w:r>
        <w:rPr>
          <w:rFonts w:ascii="Calibri" w:cs="Calibri" w:eastAsia="Calibri" w:hAnsi="Calibri"/>
          <w:b/>
          <w:bCs/>
          <w:color w:val="6A7A92"/>
          <w:sz w:val="22"/>
          <w:szCs w:val="22"/>
        </w:rPr>
        <w:t xml:space="preserve"> ]</w:t>
      </w:r>
    </w:p>
    <w:p>
      <w:pPr>
        <w:pStyle w:val="Heading2"/>
        <w:spacing w:after="140" w:before="280"/>
      </w:pPr>
      <w:r>
        <w:rPr>
          <w:rFonts w:ascii="Calibri" w:cs="Calibri" w:eastAsia="Calibri" w:hAnsi="Calibri"/>
          <w:b/>
          <w:bCs/>
          <w:color w:val="1B4070"/>
          <w:sz w:val="26"/>
          <w:szCs w:val="26"/>
        </w:rPr>
        <w:t xml:space="preserve">8.3   Three Concrete Decisions Required</w:t>
      </w:r>
    </w:p>
    <w:p>
      <w:pPr>
        <w:pBdr>
          <w:left w:val="single" w:color="0EA5E9" w:sz="18" w:space="12"/>
        </w:pBdr>
        <w:spacing w:after="220" w:before="220" w:line="360"/>
        <w:ind w:left="360" w:right="360"/>
      </w:pPr>
      <w:r>
        <w:rPr>
          <w:rFonts w:ascii="Calibri" w:cs="Calibri" w:eastAsia="Calibri" w:hAnsi="Calibri"/>
          <w:i/>
          <w:iCs/>
          <w:color w:val="1B4070"/>
          <w:sz w:val="24"/>
          <w:szCs w:val="24"/>
        </w:rPr>
        <w:t xml:space="preserve">The audit closes by surfacing the three most material decisions the operator faces immediately. Not "directional questions to think about" — actual binary decisions with specific recommended 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000"/>
        <w:gridCol w:w="2200"/>
        <w:gridCol w:w="2360"/>
      </w:tblGrid>
      <w:tr>
        <w:tc>
          <w:tcPr>
            <w:tcW w:type="dxa" w:w="8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w:t>
            </w:r>
          </w:p>
        </w:tc>
        <w:tc>
          <w:tcPr>
            <w:tcW w:type="dxa" w:w="40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Decision Required</w:t>
            </w:r>
          </w:p>
        </w:tc>
        <w:tc>
          <w:tcPr>
            <w:tcW w:type="dxa" w:w="22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Recommendation</w:t>
            </w:r>
          </w:p>
        </w:tc>
        <w:tc>
          <w:tcPr>
            <w:tcW w:type="dxa" w:w="23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Client Decision</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1</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2</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3</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bl>
    <w:p>
      <w:r>
        <w:br w:type="page"/>
      </w:r>
    </w:p>
    <w:p>
      <w:pPr>
        <w:pStyle w:val="Heading1"/>
        <w:spacing w:after="200" w:before="360"/>
      </w:pPr>
      <w:r>
        <w:rPr>
          <w:rFonts w:ascii="Calibri" w:cs="Calibri" w:eastAsia="Calibri" w:hAnsi="Calibri"/>
          <w:b/>
          <w:bCs/>
          <w:color w:val="0F2A4A"/>
          <w:sz w:val="32"/>
          <w:szCs w:val="32"/>
        </w:rPr>
        <w:t xml:space="preserve">Appendix A   Methodology Background</w:t>
      </w:r>
    </w:p>
    <w:p>
      <w:pPr>
        <w:pBdr>
          <w:bottom w:val="single" w:color="0EA5E9" w:sz="6" w:space="1"/>
        </w:pBdr>
        <w:spacing w:after="200" w:before="100"/>
      </w:pPr>
    </w:p>
    <w:p>
      <w:pPr>
        <w:spacing w:after="120" w:before="0" w:line="320"/>
      </w:pPr>
      <w:r>
        <w:rPr>
          <w:rFonts w:ascii="Calibri" w:cs="Calibri" w:eastAsia="Calibri" w:hAnsi="Calibri"/>
          <w:b w:val="false"/>
          <w:bCs w:val="false"/>
          <w:i w:val="false"/>
          <w:iCs w:val="false"/>
          <w:color w:val="202020"/>
          <w:sz w:val="22"/>
          <w:szCs w:val="22"/>
        </w:rPr>
        <w:t xml:space="preserve">The Core Wire Methodology is published openly at corewire.org under CC-BY-4.0. The methodology articulates five working concepts that this audit applies:</w:t>
      </w:r>
    </w:p>
    <w:p>
      <w:pPr>
        <w:pStyle w:val="Heading3"/>
        <w:spacing w:after="100" w:before="200"/>
      </w:pPr>
      <w:r>
        <w:rPr>
          <w:rFonts w:ascii="Calibri" w:cs="Calibri" w:eastAsia="Calibri" w:hAnsi="Calibri"/>
          <w:b/>
          <w:bCs/>
          <w:color w:val="202020"/>
          <w:sz w:val="23"/>
          <w:szCs w:val="23"/>
        </w:rPr>
        <w:t xml:space="preserve">Core Wire vs. Scaffolding</w:t>
      </w:r>
    </w:p>
    <w:p>
      <w:pPr>
        <w:spacing w:after="120" w:before="0" w:line="320"/>
      </w:pPr>
      <w:r>
        <w:rPr>
          <w:rFonts w:ascii="Calibri" w:cs="Calibri" w:eastAsia="Calibri" w:hAnsi="Calibri"/>
          <w:b w:val="false"/>
          <w:bCs w:val="false"/>
          <w:i w:val="false"/>
          <w:iCs w:val="false"/>
          <w:color w:val="202020"/>
          <w:sz w:val="22"/>
          <w:szCs w:val="22"/>
        </w:rPr>
        <w:t xml:space="preserve">The core wire of any system is the smallest set of operations whose removal causes the system to cease being itself. Everything else is scaffolding. The methodology is the practice of finding the line.</w:t>
      </w:r>
    </w:p>
    <w:p>
      <w:pPr>
        <w:pStyle w:val="Heading3"/>
        <w:spacing w:after="100" w:before="200"/>
      </w:pPr>
      <w:r>
        <w:rPr>
          <w:rFonts w:ascii="Calibri" w:cs="Calibri" w:eastAsia="Calibri" w:hAnsi="Calibri"/>
          <w:b/>
          <w:bCs/>
          <w:color w:val="202020"/>
          <w:sz w:val="23"/>
          <w:szCs w:val="23"/>
        </w:rPr>
        <w:t xml:space="preserve">Cathedral vs. Scaffolding</w:t>
      </w:r>
    </w:p>
    <w:p>
      <w:pPr>
        <w:spacing w:after="120" w:before="0" w:line="320"/>
      </w:pPr>
      <w:r>
        <w:rPr>
          <w:rFonts w:ascii="Calibri" w:cs="Calibri" w:eastAsia="Calibri" w:hAnsi="Calibri"/>
          <w:b w:val="false"/>
          <w:bCs w:val="false"/>
          <w:i w:val="false"/>
          <w:iCs w:val="false"/>
          <w:color w:val="202020"/>
          <w:sz w:val="22"/>
          <w:szCs w:val="22"/>
        </w:rPr>
        <w:t xml:space="preserve">Cathedral time is autotelic — activity that needs no justification beyond itself. Scaffolding is instrumental time pointing toward a future payoff. Most operations contain both; the central pathology is the inversion (scaffolding consuming the cathedral it was meant to support). The audit discriminates these structures.</w:t>
      </w:r>
    </w:p>
    <w:p>
      <w:pPr>
        <w:pStyle w:val="Heading3"/>
        <w:spacing w:after="100" w:before="200"/>
      </w:pPr>
      <w:r>
        <w:rPr>
          <w:rFonts w:ascii="Calibri" w:cs="Calibri" w:eastAsia="Calibri" w:hAnsi="Calibri"/>
          <w:b/>
          <w:bCs/>
          <w:color w:val="202020"/>
          <w:sz w:val="23"/>
          <w:szCs w:val="23"/>
        </w:rPr>
        <w:t xml:space="preserve">The Diamond Floor</w:t>
      </w:r>
    </w:p>
    <w:p>
      <w:pPr>
        <w:spacing w:after="120" w:before="0" w:line="320"/>
      </w:pPr>
      <w:r>
        <w:rPr>
          <w:rFonts w:ascii="Calibri" w:cs="Calibri" w:eastAsia="Calibri" w:hAnsi="Calibri"/>
          <w:b w:val="false"/>
          <w:bCs w:val="false"/>
          <w:i w:val="false"/>
          <w:iCs w:val="false"/>
          <w:color w:val="202020"/>
          <w:sz w:val="22"/>
          <w:szCs w:val="22"/>
        </w:rPr>
        <w:t xml:space="preserve">Frontier reasoning is now priced at the marginal cost of electricity. The threshold was crossed in late 2025; the floor under cognitive labor is permanent. Most automation work performed under that condition is mispriced and structurally fragile. The methodology operates under this condition deliberately.</w:t>
      </w:r>
    </w:p>
    <w:p>
      <w:pPr>
        <w:pStyle w:val="Heading3"/>
        <w:spacing w:after="100" w:before="200"/>
      </w:pPr>
      <w:r>
        <w:rPr>
          <w:rFonts w:ascii="Calibri" w:cs="Calibri" w:eastAsia="Calibri" w:hAnsi="Calibri"/>
          <w:b/>
          <w:bCs/>
          <w:color w:val="202020"/>
          <w:sz w:val="23"/>
          <w:szCs w:val="23"/>
        </w:rPr>
        <w:t xml:space="preserve">Same Shape (Computational Affinity)</w:t>
      </w:r>
    </w:p>
    <w:p>
      <w:pPr>
        <w:spacing w:after="120" w:before="0" w:line="320"/>
      </w:pPr>
      <w:r>
        <w:rPr>
          <w:rFonts w:ascii="Calibri" w:cs="Calibri" w:eastAsia="Calibri" w:hAnsi="Calibri"/>
          <w:b w:val="false"/>
          <w:bCs w:val="false"/>
          <w:i w:val="false"/>
          <w:iCs w:val="false"/>
          <w:color w:val="202020"/>
          <w:sz w:val="22"/>
          <w:szCs w:val="22"/>
        </w:rPr>
        <w:t xml:space="preserve">When a domain’s required computations and a substrate’s native operations are the same shape, the architecture seems to design itself once you see the correspondence. The audit’s § 6 (Architecture Sketch) operates in this register — recognizing the structural match between the operation and the available substrate.</w:t>
      </w:r>
    </w:p>
    <w:p>
      <w:pPr>
        <w:pStyle w:val="Heading3"/>
        <w:spacing w:after="100" w:before="200"/>
      </w:pPr>
      <w:r>
        <w:rPr>
          <w:rFonts w:ascii="Calibri" w:cs="Calibri" w:eastAsia="Calibri" w:hAnsi="Calibri"/>
          <w:b/>
          <w:bCs/>
          <w:color w:val="202020"/>
          <w:sz w:val="23"/>
          <w:szCs w:val="23"/>
        </w:rPr>
        <w:t xml:space="preserve">The Human Line</w:t>
      </w:r>
    </w:p>
    <w:p>
      <w:pPr>
        <w:spacing w:after="120" w:before="0" w:line="320"/>
      </w:pPr>
      <w:r>
        <w:rPr>
          <w:rFonts w:ascii="Calibri" w:cs="Calibri" w:eastAsia="Calibri" w:hAnsi="Calibri"/>
          <w:b w:val="false"/>
          <w:bCs w:val="false"/>
          <w:i w:val="false"/>
          <w:iCs w:val="false"/>
          <w:color w:val="202020"/>
          <w:sz w:val="22"/>
          <w:szCs w:val="22"/>
        </w:rPr>
        <w:t xml:space="preserve">A topological boundary in information space — the manifold where the substrate’s representable dimensions end and the human’s unmeasured dimensions begin. The audit explicitly preserves the Human Line; classifications of "core wire" are partially defined by what cannot be represented in the substrate.</w:t>
      </w:r>
    </w:p>
    <w:p>
      <w:pPr>
        <w:pStyle w:val="Heading3"/>
        <w:spacing w:after="100" w:before="200"/>
      </w:pPr>
      <w:r>
        <w:rPr>
          <w:rFonts w:ascii="Calibri" w:cs="Calibri" w:eastAsia="Calibri" w:hAnsi="Calibri"/>
          <w:b/>
          <w:bCs/>
          <w:color w:val="202020"/>
          <w:sz w:val="23"/>
          <w:szCs w:val="23"/>
        </w:rPr>
        <w:t xml:space="preserve">Reference</w:t>
      </w:r>
    </w:p>
    <w:p>
      <w:pPr>
        <w:spacing w:after="120" w:before="0" w:line="320"/>
      </w:pPr>
      <w:r>
        <w:rPr>
          <w:rFonts w:ascii="Calibri" w:cs="Calibri" w:eastAsia="Calibri" w:hAnsi="Calibri"/>
          <w:b/>
          <w:bCs/>
          <w:i w:val="false"/>
          <w:iCs w:val="false"/>
          <w:color w:val="202020"/>
          <w:sz w:val="22"/>
          <w:szCs w:val="22"/>
        </w:rPr>
        <w:t xml:space="preserve">Full methodology: </w:t>
      </w:r>
      <w:r>
        <w:rPr>
          <w:rFonts w:ascii="Calibri" w:cs="Calibri" w:eastAsia="Calibri" w:hAnsi="Calibri"/>
          <w:b w:val="false"/>
          <w:bCs w:val="false"/>
          <w:i w:val="false"/>
          <w:iCs w:val="false"/>
          <w:color w:val="0EA5E9"/>
          <w:sz w:val="22"/>
          <w:szCs w:val="22"/>
        </w:rPr>
        <w:t xml:space="preserve">corewire.org</w:t>
      </w:r>
      <w:r>
        <w:rPr>
          <w:rFonts w:ascii="Calibri" w:cs="Calibri" w:eastAsia="Calibri" w:hAnsi="Calibri"/>
          <w:b w:val="false"/>
          <w:bCs w:val="false"/>
          <w:i w:val="false"/>
          <w:iCs w:val="false"/>
          <w:color w:val="6A7A92"/>
          <w:sz w:val="22"/>
          <w:szCs w:val="22"/>
        </w:rPr>
        <w:t xml:space="preserve">  /  </w:t>
      </w:r>
      <w:r>
        <w:rPr>
          <w:rFonts w:ascii="Calibri" w:cs="Calibri" w:eastAsia="Calibri" w:hAnsi="Calibri"/>
          <w:b/>
          <w:bCs/>
          <w:i w:val="false"/>
          <w:iCs w:val="false"/>
          <w:color w:val="202020"/>
          <w:sz w:val="22"/>
          <w:szCs w:val="22"/>
        </w:rPr>
        <w:t xml:space="preserve">Audit deliverable template: </w:t>
      </w:r>
      <w:r>
        <w:rPr>
          <w:rFonts w:ascii="Calibri" w:cs="Calibri" w:eastAsia="Calibri" w:hAnsi="Calibri"/>
          <w:b w:val="false"/>
          <w:bCs w:val="false"/>
          <w:i w:val="false"/>
          <w:iCs w:val="false"/>
          <w:color w:val="202020"/>
          <w:sz w:val="22"/>
          <w:szCs w:val="22"/>
        </w:rPr>
        <w:t xml:space="preserve">this document, v0.1</w:t>
      </w:r>
    </w:p>
    <w:p>
      <w:r>
        <w:br w:type="page"/>
      </w:r>
    </w:p>
    <w:p>
      <w:pPr>
        <w:pStyle w:val="Heading1"/>
        <w:spacing w:after="200" w:before="360"/>
      </w:pPr>
      <w:r>
        <w:rPr>
          <w:rFonts w:ascii="Calibri" w:cs="Calibri" w:eastAsia="Calibri" w:hAnsi="Calibri"/>
          <w:b/>
          <w:bCs/>
          <w:color w:val="0F2A4A"/>
          <w:sz w:val="32"/>
          <w:szCs w:val="32"/>
        </w:rPr>
        <w:t xml:space="preserve">Appendix B   Decisions Required from Client</w:t>
      </w:r>
    </w:p>
    <w:p>
      <w:pPr>
        <w:pBdr>
          <w:bottom w:val="single" w:color="0EA5E9" w:sz="6" w:space="1"/>
        </w:pBdr>
        <w:spacing w:after="200" w:before="100"/>
      </w:pPr>
    </w:p>
    <w:p>
      <w:pPr>
        <w:spacing w:after="120" w:before="0" w:line="320"/>
      </w:pPr>
      <w:r>
        <w:rPr>
          <w:rFonts w:ascii="Calibri" w:cs="Calibri" w:eastAsia="Calibri" w:hAnsi="Calibri"/>
          <w:b w:val="false"/>
          <w:bCs w:val="false"/>
          <w:i w:val="false"/>
          <w:iCs w:val="false"/>
          <w:color w:val="202020"/>
          <w:sz w:val="22"/>
          <w:szCs w:val="22"/>
        </w:rPr>
        <w:t xml:space="preserve">This appendix consolidates the three decisions surfaced in § 8.3 in a sign-off format. Each decision should be marked accept, modify, or reject by the client decision-maker. Modifications are recorded with the proposed alternative.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000"/>
        <w:gridCol w:w="2200"/>
        <w:gridCol w:w="2360"/>
      </w:tblGrid>
      <w:tr>
        <w:tc>
          <w:tcPr>
            <w:tcW w:type="dxa" w:w="8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w:t>
            </w:r>
          </w:p>
        </w:tc>
        <w:tc>
          <w:tcPr>
            <w:tcW w:type="dxa" w:w="40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Decision Required</w:t>
            </w:r>
          </w:p>
        </w:tc>
        <w:tc>
          <w:tcPr>
            <w:tcW w:type="dxa" w:w="220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Recommendation</w:t>
            </w:r>
          </w:p>
        </w:tc>
        <w:tc>
          <w:tcPr>
            <w:tcW w:type="dxa" w:w="2360"/>
            <w:tcBorders>
              <w:top w:val="single" w:color="D0D7E2" w:sz="4"/>
              <w:left w:val="single" w:color="D0D7E2" w:sz="4"/>
              <w:bottom w:val="single" w:color="D0D7E2" w:sz="4"/>
              <w:right w:val="single" w:color="D0D7E2" w:sz="4"/>
            </w:tcBorders>
            <w:shd w:fill="0F2A4A" w:val="clear"/>
            <w:tcMar>
              <w:top w:type="dxa" w:w="100"/>
              <w:left w:type="dxa" w:w="140"/>
              <w:bottom w:type="dxa" w:w="100"/>
              <w:right w:type="dxa" w:w="140"/>
            </w:tcMar>
          </w:tcPr>
          <w:p>
            <w:r>
              <w:rPr>
                <w:rFonts w:ascii="Calibri" w:cs="Calibri" w:eastAsia="Calibri" w:hAnsi="Calibri"/>
                <w:b/>
                <w:bCs/>
                <w:color w:val="FFFFFF"/>
                <w:sz w:val="19"/>
                <w:szCs w:val="19"/>
              </w:rPr>
              <w:t xml:space="preserve">Client Decision</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1</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2</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r>
        <w:tc>
          <w:tcPr>
            <w:tcW w:type="dxa" w:w="800"/>
            <w:tcBorders>
              <w:top w:val="single" w:color="D0D7E2" w:sz="4"/>
              <w:left w:val="single" w:color="D0D7E2" w:sz="4"/>
              <w:bottom w:val="single" w:color="D0D7E2" w:sz="4"/>
              <w:right w:val="single" w:color="D0D7E2" w:sz="4"/>
            </w:tcBorders>
            <w:shd w:fill="F5F8FB" w:val="clear"/>
            <w:tcMar>
              <w:top w:type="dxa" w:w="90"/>
              <w:left w:type="dxa" w:w="140"/>
              <w:bottom w:type="dxa" w:w="90"/>
              <w:right w:type="dxa" w:w="140"/>
            </w:tcMar>
          </w:tcPr>
          <w:p>
            <w:r>
              <w:rPr>
                <w:rFonts w:ascii="Calibri" w:cs="Calibri" w:eastAsia="Calibri" w:hAnsi="Calibri"/>
                <w:b/>
                <w:bCs/>
                <w:i w:val="false"/>
                <w:iCs w:val="false"/>
                <w:color w:val="0EA5E9"/>
                <w:sz w:val="19"/>
                <w:szCs w:val="19"/>
              </w:rPr>
              <w:t xml:space="preserve">3</w:t>
            </w:r>
          </w:p>
        </w:tc>
        <w:tc>
          <w:tcPr>
            <w:tcW w:type="dxa" w:w="40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specific decision the operator must make ]</w:t>
            </w:r>
          </w:p>
        </w:tc>
        <w:tc>
          <w:tcPr>
            <w:tcW w:type="dxa" w:w="220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practitioner recommendation ]</w:t>
            </w:r>
          </w:p>
        </w:tc>
        <w:tc>
          <w:tcPr>
            <w:tcW w:type="dxa" w:w="2360"/>
            <w:tcBorders>
              <w:top w:val="single" w:color="D0D7E2" w:sz="4"/>
              <w:left w:val="single" w:color="D0D7E2" w:sz="4"/>
              <w:bottom w:val="single" w:color="D0D7E2" w:sz="4"/>
              <w:right w:val="single" w:color="D0D7E2" w:sz="4"/>
            </w:tcBorders>
            <w:shd w:fill="FFFFFF" w:val="clear"/>
            <w:tcMar>
              <w:top w:type="dxa" w:w="90"/>
              <w:left w:type="dxa" w:w="140"/>
              <w:bottom w:type="dxa" w:w="90"/>
              <w:right w:type="dxa" w:w="140"/>
            </w:tcMar>
          </w:tcPr>
          <w:p>
            <w:r>
              <w:rPr>
                <w:rFonts w:ascii="Calibri" w:cs="Calibri" w:eastAsia="Calibri" w:hAnsi="Calibri"/>
                <w:b w:val="false"/>
                <w:bCs w:val="false"/>
                <w:i/>
                <w:iCs/>
                <w:color w:val="6A7A92"/>
                <w:sz w:val="19"/>
                <w:szCs w:val="19"/>
              </w:rPr>
              <w:t xml:space="preserve">[ ☐ accept ☐ modify ☐ reject ]</w:t>
            </w:r>
          </w:p>
        </w:tc>
      </w:tr>
    </w:tbl>
    <w:p>
      <w:pPr>
        <w:spacing w:after="80"/>
      </w:pP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0D7E2" w:sz="4"/>
              <w:left w:val="single" w:color="D0D7E2" w:sz="4"/>
              <w:bottom w:val="single" w:color="D0D7E2" w:sz="4"/>
              <w:right w:val="single" w:color="D0D7E2" w:sz="4"/>
            </w:tcBorders>
            <w:shd w:fill="F5F8FB" w:val="clear"/>
            <w:tcMar>
              <w:top w:type="dxa" w:w="240"/>
              <w:left w:type="dxa" w:w="200"/>
              <w:bottom w:type="dxa" w:w="240"/>
              <w:right w:type="dxa" w:w="200"/>
            </w:tcMar>
          </w:tcPr>
          <w:p>
            <w:pPr>
              <w:spacing w:after="200"/>
            </w:pPr>
            <w:r>
              <w:rPr>
                <w:rFonts w:ascii="Calibri" w:cs="Calibri" w:eastAsia="Calibri" w:hAnsi="Calibri"/>
                <w:b/>
                <w:bCs/>
                <w:color w:val="0F2A4A"/>
                <w:sz w:val="24"/>
                <w:szCs w:val="24"/>
              </w:rPr>
              <w:t xml:space="preserve">Client Sign-Off</w:t>
            </w:r>
          </w:p>
          <w:p>
            <w:pPr>
              <w:spacing w:after="120"/>
            </w:pPr>
            <w:r>
              <w:rPr>
                <w:rFonts w:ascii="Calibri" w:cs="Calibri" w:eastAsia="Calibri" w:hAnsi="Calibri"/>
                <w:color w:val="4A5A75"/>
                <w:sz w:val="22"/>
                <w:szCs w:val="22"/>
              </w:rPr>
              <w:t xml:space="preserve">Name:</w:t>
            </w:r>
          </w:p>
          <w:p>
            <w:pPr>
              <w:spacing w:after="120"/>
            </w:pPr>
            <w:r>
              <w:rPr>
                <w:rFonts w:ascii="Calibri" w:cs="Calibri" w:eastAsia="Calibri" w:hAnsi="Calibri"/>
                <w:color w:val="6A7A92"/>
                <w:sz w:val="22"/>
                <w:szCs w:val="22"/>
              </w:rPr>
              <w:t xml:space="preserve">_______________________________</w:t>
            </w:r>
          </w:p>
          <w:p>
            <w:pPr>
              <w:spacing w:after="120"/>
            </w:pPr>
            <w:r>
              <w:rPr>
                <w:rFonts w:ascii="Calibri" w:cs="Calibri" w:eastAsia="Calibri" w:hAnsi="Calibri"/>
                <w:color w:val="4A5A75"/>
                <w:sz w:val="22"/>
                <w:szCs w:val="22"/>
              </w:rPr>
              <w:t xml:space="preserve">Title:</w:t>
            </w:r>
          </w:p>
          <w:p>
            <w:pPr>
              <w:spacing w:after="120"/>
            </w:pPr>
            <w:r>
              <w:rPr>
                <w:rFonts w:ascii="Calibri" w:cs="Calibri" w:eastAsia="Calibri" w:hAnsi="Calibri"/>
                <w:color w:val="6A7A92"/>
                <w:sz w:val="22"/>
                <w:szCs w:val="22"/>
              </w:rPr>
              <w:t xml:space="preserve">_______________________________</w:t>
            </w:r>
          </w:p>
          <w:p>
            <w:pPr>
              <w:spacing w:after="120"/>
            </w:pPr>
            <w:r>
              <w:rPr>
                <w:rFonts w:ascii="Calibri" w:cs="Calibri" w:eastAsia="Calibri" w:hAnsi="Calibri"/>
                <w:color w:val="4A5A75"/>
                <w:sz w:val="22"/>
                <w:szCs w:val="22"/>
              </w:rPr>
              <w:t xml:space="preserve">Signature:</w:t>
            </w:r>
          </w:p>
          <w:p>
            <w:pPr>
              <w:spacing w:after="120"/>
            </w:pPr>
            <w:r>
              <w:rPr>
                <w:rFonts w:ascii="Calibri" w:cs="Calibri" w:eastAsia="Calibri" w:hAnsi="Calibri"/>
                <w:color w:val="6A7A92"/>
                <w:sz w:val="22"/>
                <w:szCs w:val="22"/>
              </w:rPr>
              <w:t xml:space="preserve">_______________________________</w:t>
            </w:r>
          </w:p>
          <w:p>
            <w:pPr>
              <w:spacing w:after="0"/>
            </w:pPr>
            <w:r>
              <w:rPr>
                <w:rFonts w:ascii="Calibri" w:cs="Calibri" w:eastAsia="Calibri" w:hAnsi="Calibri"/>
                <w:color w:val="4A5A75"/>
                <w:sz w:val="22"/>
                <w:szCs w:val="22"/>
              </w:rPr>
              <w:t xml:space="preserve">Date:</w:t>
            </w:r>
          </w:p>
          <w:p>
            <w:pPr>
              <w:spacing w:after="0"/>
            </w:pPr>
            <w:r>
              <w:rPr>
                <w:rFonts w:ascii="Calibri" w:cs="Calibri" w:eastAsia="Calibri" w:hAnsi="Calibri"/>
                <w:color w:val="6A7A92"/>
                <w:sz w:val="22"/>
                <w:szCs w:val="22"/>
              </w:rPr>
              <w:t xml:space="preserve">_______________________________</w:t>
            </w:r>
          </w:p>
        </w:tc>
        <w:tc>
          <w:tcPr>
            <w:tcW w:type="dxa" w:w="4680"/>
            <w:tcBorders>
              <w:top w:val="single" w:color="D0D7E2" w:sz="4"/>
              <w:left w:val="single" w:color="D0D7E2" w:sz="4"/>
              <w:bottom w:val="single" w:color="D0D7E2" w:sz="4"/>
              <w:right w:val="single" w:color="D0D7E2" w:sz="4"/>
            </w:tcBorders>
            <w:shd w:fill="F5F8FB" w:val="clear"/>
            <w:tcMar>
              <w:top w:type="dxa" w:w="240"/>
              <w:left w:type="dxa" w:w="200"/>
              <w:bottom w:type="dxa" w:w="240"/>
              <w:right w:type="dxa" w:w="200"/>
            </w:tcMar>
          </w:tcPr>
          <w:p>
            <w:pPr>
              <w:spacing w:after="200"/>
            </w:pPr>
            <w:r>
              <w:rPr>
                <w:rFonts w:ascii="Calibri" w:cs="Calibri" w:eastAsia="Calibri" w:hAnsi="Calibri"/>
                <w:b/>
                <w:bCs/>
                <w:color w:val="0F2A4A"/>
                <w:sz w:val="24"/>
                <w:szCs w:val="24"/>
              </w:rPr>
              <w:t xml:space="preserve">Practitioner Sign-Off</w:t>
            </w:r>
          </w:p>
          <w:p>
            <w:pPr>
              <w:spacing w:after="120"/>
            </w:pPr>
            <w:r>
              <w:rPr>
                <w:rFonts w:ascii="Calibri" w:cs="Calibri" w:eastAsia="Calibri" w:hAnsi="Calibri"/>
                <w:color w:val="4A5A75"/>
                <w:sz w:val="22"/>
                <w:szCs w:val="22"/>
              </w:rPr>
              <w:t xml:space="preserve">Name:</w:t>
            </w:r>
          </w:p>
          <w:p>
            <w:pPr>
              <w:spacing w:after="120"/>
            </w:pPr>
            <w:r>
              <w:rPr>
                <w:rFonts w:ascii="Calibri" w:cs="Calibri" w:eastAsia="Calibri" w:hAnsi="Calibri"/>
                <w:color w:val="202020"/>
                <w:sz w:val="22"/>
                <w:szCs w:val="22"/>
              </w:rPr>
              <w:t xml:space="preserve">Bo Chen</w:t>
            </w:r>
          </w:p>
          <w:p>
            <w:pPr>
              <w:spacing w:after="120"/>
            </w:pPr>
            <w:r>
              <w:rPr>
                <w:rFonts w:ascii="Calibri" w:cs="Calibri" w:eastAsia="Calibri" w:hAnsi="Calibri"/>
                <w:color w:val="4A5A75"/>
                <w:sz w:val="22"/>
                <w:szCs w:val="22"/>
              </w:rPr>
              <w:t xml:space="preserve">Title:</w:t>
            </w:r>
          </w:p>
          <w:p>
            <w:pPr>
              <w:spacing w:after="120"/>
            </w:pPr>
            <w:r>
              <w:rPr>
                <w:rFonts w:ascii="Calibri" w:cs="Calibri" w:eastAsia="Calibri" w:hAnsi="Calibri"/>
                <w:color w:val="202020"/>
                <w:sz w:val="22"/>
                <w:szCs w:val="22"/>
              </w:rPr>
              <w:t xml:space="preserve">Principal, Access Intellect LLC</w:t>
            </w:r>
          </w:p>
          <w:p>
            <w:pPr>
              <w:spacing w:after="120"/>
            </w:pPr>
            <w:r>
              <w:rPr>
                <w:rFonts w:ascii="Calibri" w:cs="Calibri" w:eastAsia="Calibri" w:hAnsi="Calibri"/>
                <w:color w:val="4A5A75"/>
                <w:sz w:val="22"/>
                <w:szCs w:val="22"/>
              </w:rPr>
              <w:t xml:space="preserve">Signature:</w:t>
            </w:r>
          </w:p>
          <w:p>
            <w:pPr>
              <w:spacing w:after="120"/>
            </w:pPr>
            <w:r>
              <w:rPr>
                <w:rFonts w:ascii="Calibri" w:cs="Calibri" w:eastAsia="Calibri" w:hAnsi="Calibri"/>
                <w:color w:val="6A7A92"/>
                <w:sz w:val="22"/>
                <w:szCs w:val="22"/>
              </w:rPr>
              <w:t xml:space="preserve">_______________________________</w:t>
            </w:r>
          </w:p>
          <w:p>
            <w:pPr>
              <w:spacing w:after="0"/>
            </w:pPr>
            <w:r>
              <w:rPr>
                <w:rFonts w:ascii="Calibri" w:cs="Calibri" w:eastAsia="Calibri" w:hAnsi="Calibri"/>
                <w:color w:val="4A5A75"/>
                <w:sz w:val="22"/>
                <w:szCs w:val="22"/>
              </w:rPr>
              <w:t xml:space="preserve">Date:</w:t>
            </w:r>
          </w:p>
          <w:p>
            <w:pPr>
              <w:spacing w:after="0"/>
            </w:pPr>
            <w:r>
              <w:rPr>
                <w:rFonts w:ascii="Calibri" w:cs="Calibri" w:eastAsia="Calibri" w:hAnsi="Calibri"/>
                <w:color w:val="6A7A92"/>
                <w:sz w:val="22"/>
                <w:szCs w:val="22"/>
              </w:rPr>
              <w:t xml:space="preserve">_______________________________</w:t>
            </w:r>
          </w:p>
        </w:tc>
      </w:tr>
    </w:tbl>
    <w:p>
      <w:r>
        <w:br w:type="page"/>
      </w:r>
    </w:p>
    <w:p>
      <w:pPr>
        <w:pStyle w:val="Heading1"/>
        <w:spacing w:after="200" w:before="360"/>
      </w:pPr>
      <w:r>
        <w:rPr>
          <w:rFonts w:ascii="Calibri" w:cs="Calibri" w:eastAsia="Calibri" w:hAnsi="Calibri"/>
          <w:b/>
          <w:bCs/>
          <w:color w:val="0F2A4A"/>
          <w:sz w:val="32"/>
          <w:szCs w:val="32"/>
        </w:rPr>
        <w:t xml:space="preserve">Appendix C   Glossary</w:t>
      </w:r>
    </w:p>
    <w:p>
      <w:pPr>
        <w:pBdr>
          <w:bottom w:val="single" w:color="0EA5E9" w:sz="6" w:space="1"/>
        </w:pBdr>
        <w:spacing w:after="200" w:before="100"/>
      </w:pPr>
    </w:p>
    <w:p>
      <w:pPr>
        <w:spacing w:after="120" w:before="0" w:line="320"/>
      </w:pPr>
      <w:r>
        <w:rPr>
          <w:rFonts w:ascii="Calibri" w:cs="Calibri" w:eastAsia="Calibri" w:hAnsi="Calibri"/>
          <w:b w:val="false"/>
          <w:bCs w:val="false"/>
          <w:i w:val="false"/>
          <w:iCs w:val="false"/>
          <w:color w:val="202020"/>
          <w:sz w:val="22"/>
          <w:szCs w:val="22"/>
        </w:rPr>
        <w:t xml:space="preserve">Defined terms used in this deliverable, in approximate order of first appearance.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Core Wire</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The set of operations whose removal causes the system to cease being itself. The irreducible.</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Scaffolding</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Operations supporting the core wire. Necessary but not the system’s purpose. Compressible into deterministic routines once identified.</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Cathedral</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Time that needs no justification beyond itself. Autotelic activity. The system’s reason for existing.</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Compilation Target</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A scaffolding action recommended for compression into a deterministic routine.</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FTE Displacement</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The labor capacity (hours per year × loaded rate) that a compiled routine releases.</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Loaded Rate</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Hourly cost of labor including salary, benefits, taxes, overhead, opportunity cost.</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Confidence Interval</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Calibrated range reflecting measurement uncertainty in displacement calculations.</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Information Gate</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Pre-committed data condition that triggers proceeding to (or aborting from) the next phase of work.</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Abort Criterion</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Specific condition under which the build engagement should be cancelled before it ships.</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Fail-Closed Default</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Architecture pattern where the system halts safely when AI confidence is below threshold, rather than proceeding with low-confidence output.</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Human Line</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The boundary in information space where the substrate’s representable dimensions end and the human’s unmeasured dimensions begin. The audit preserves it.</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Diamond Floor</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The permanent cost floor under frontier cognitive labor, established late 2025. Cognition is now infrastructure-priced.</w:t>
            </w:r>
          </w:p>
        </w:tc>
      </w:tr>
      <w:tr>
        <w:tc>
          <w:tcPr>
            <w:tcW w:type="dxa" w:w="2400"/>
            <w:tcBorders>
              <w:top w:val="single" w:color="D0D7E2" w:sz="4"/>
              <w:left w:val="single" w:color="D0D7E2" w:sz="4"/>
              <w:bottom w:val="single" w:color="D0D7E2" w:sz="4"/>
              <w:right w:val="single" w:color="D0D7E2" w:sz="4"/>
            </w:tcBorders>
            <w:shd w:fill="F5F8FB" w:val="clear"/>
            <w:tcMar>
              <w:top w:type="dxa" w:w="100"/>
              <w:left w:type="dxa" w:w="140"/>
              <w:bottom w:type="dxa" w:w="100"/>
              <w:right w:type="dxa" w:w="140"/>
            </w:tcMar>
          </w:tcPr>
          <w:p>
            <w:r>
              <w:rPr>
                <w:rFonts w:ascii="Calibri" w:cs="Calibri" w:eastAsia="Calibri" w:hAnsi="Calibri"/>
                <w:b/>
                <w:bCs/>
                <w:i/>
                <w:iCs/>
                <w:color w:val="0F2A4A"/>
                <w:sz w:val="21"/>
                <w:szCs w:val="21"/>
              </w:rPr>
              <w:t xml:space="preserve">CFAA-Clean</w:t>
            </w:r>
          </w:p>
        </w:tc>
        <w:tc>
          <w:tcPr>
            <w:tcW w:type="dxa" w:w="6960"/>
            <w:tcBorders>
              <w:top w:val="single" w:color="D0D7E2" w:sz="4"/>
              <w:left w:val="single" w:color="D0D7E2" w:sz="4"/>
              <w:bottom w:val="single" w:color="D0D7E2" w:sz="4"/>
              <w:right w:val="single" w:color="D0D7E2" w:sz="4"/>
            </w:tcBorders>
            <w:shd w:fill="FFFFFF" w:val="clear"/>
            <w:tcMar>
              <w:top w:type="dxa" w:w="100"/>
              <w:left w:type="dxa" w:w="140"/>
              <w:bottom w:type="dxa" w:w="100"/>
              <w:right w:type="dxa" w:w="140"/>
            </w:tcMar>
          </w:tcPr>
          <w:p>
            <w:r>
              <w:rPr>
                <w:rFonts w:ascii="Calibri" w:cs="Calibri" w:eastAsia="Calibri" w:hAnsi="Calibri"/>
                <w:color w:val="202020"/>
                <w:sz w:val="21"/>
                <w:szCs w:val="21"/>
              </w:rPr>
              <w:t xml:space="preserve">Operating discipline that uses authorized API pathways and OSINT methodologies only. No unauthorized access, credential sharing, or jurisdictional crossing.</w:t>
            </w:r>
          </w:p>
        </w:tc>
      </w:tr>
    </w:tbl>
    <w:p>
      <w:r>
        <w:br w:type="page"/>
      </w:r>
    </w:p>
    <w:p>
      <w:pPr>
        <w:pStyle w:val="Heading1"/>
        <w:spacing w:after="200" w:before="360"/>
      </w:pPr>
      <w:r>
        <w:rPr>
          <w:rFonts w:ascii="Calibri" w:cs="Calibri" w:eastAsia="Calibri" w:hAnsi="Calibri"/>
          <w:b/>
          <w:bCs/>
          <w:color w:val="0F2A4A"/>
          <w:sz w:val="32"/>
          <w:szCs w:val="32"/>
        </w:rPr>
        <w:t xml:space="preserve">End of Deliverable</w:t>
      </w:r>
    </w:p>
    <w:p>
      <w:pPr>
        <w:pBdr>
          <w:bottom w:val="single" w:color="0EA5E9" w:sz="6" w:space="1"/>
        </w:pBdr>
        <w:spacing w:after="200" w:before="100"/>
      </w:pPr>
    </w:p>
    <w:p>
      <w:pPr>
        <w:spacing w:after="120" w:before="0" w:line="320"/>
      </w:pPr>
      <w:r>
        <w:rPr>
          <w:rFonts w:ascii="Calibri" w:cs="Calibri" w:eastAsia="Calibri" w:hAnsi="Calibri"/>
          <w:b w:val="false"/>
          <w:bCs w:val="false"/>
          <w:i w:val="false"/>
          <w:iCs w:val="false"/>
          <w:color w:val="202020"/>
          <w:sz w:val="22"/>
          <w:szCs w:val="22"/>
        </w:rPr>
        <w:t xml:space="preserve">This deliverable was produced under engagement [ AICW-NNN-YYYY ] for [ CLIENT NAME ] by Bo Chen, Access Intellect LLC, between [ start date ] and [ end date ]. The methodology applied is Core Wire Methodology v0.1, open-published at corewire.org under CC-BY-4.0.</w:t>
      </w:r>
    </w:p>
    <w:p>
      <w:pPr>
        <w:spacing w:after="120" w:before="0" w:line="320"/>
      </w:pPr>
      <w:r>
        <w:rPr>
          <w:rFonts w:ascii="Calibri" w:cs="Calibri" w:eastAsia="Calibri" w:hAnsi="Calibri"/>
          <w:b w:val="false"/>
          <w:bCs w:val="false"/>
          <w:i w:val="false"/>
          <w:iCs w:val="false"/>
          <w:color w:val="202020"/>
          <w:sz w:val="22"/>
          <w:szCs w:val="22"/>
        </w:rPr>
        <w:t xml:space="preserve">The client retains all rights to the operational data and findings contained herein. The methodology is open and may be referenced, excerpted, or adopted by any practitioner with attribution to corewire.org. Distribution of this deliverable in whole or in part outside the named recipients requires written consent from Access Intellect LLC, except where the underlying methodology itself is being referenced.</w:t>
      </w:r>
    </w:p>
    <w:p>
      <w:pPr>
        <w:spacing w:after="80"/>
      </w:pPr>
    </w:p>
    <w:p>
      <w:pPr>
        <w:spacing w:before="300"/>
        <w:jc w:val="center"/>
      </w:pPr>
      <w:r>
        <w:rPr>
          <w:rFonts w:ascii="Calibri" w:cs="Calibri" w:eastAsia="Calibri" w:hAnsi="Calibri"/>
          <w:i/>
          <w:iCs/>
          <w:color w:val="6A7A92"/>
          <w:sz w:val="22"/>
          <w:szCs w:val="22"/>
        </w:rPr>
        <w:t xml:space="preserve">— end —</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7E2" w:sz="4" w:space="4"/>
      </w:pBdr>
      <w:tabs>
        <w:tab w:val="right" w:pos="9026"/>
      </w:tabs>
    </w:pPr>
    <w:r>
      <w:rPr>
        <w:rFonts w:ascii="Calibri" w:cs="Calibri" w:eastAsia="Calibri" w:hAnsi="Calibri"/>
        <w:i/>
        <w:iCs/>
        <w:color w:val="6A7A92"/>
        <w:sz w:val="16"/>
        <w:szCs w:val="16"/>
      </w:rPr>
      <w:t xml:space="preserve">Access Intellect LLC · corewire.org · CC-BY-4.0</w:t>
    </w:r>
    <w:r>
      <w:rPr>
        <w:sz w:val="16"/>
        <w:szCs w:val="16"/>
      </w:rPr>
      <w:t xml:space="preserve">	</w:t>
    </w:r>
    <w:r>
      <w:rPr>
        <w:rFonts w:ascii="Calibri" w:cs="Calibri" w:eastAsia="Calibri" w:hAnsi="Calibri"/>
        <w:color w:val="6A7A92"/>
        <w:sz w:val="16"/>
        <w:szCs w:val="16"/>
      </w:rPr>
      <w:t xml:space="preserve">Page </w:t>
    </w:r>
    <w:r>
      <w:rPr>
        <w:rFonts w:ascii="Calibri" w:cs="Calibri" w:eastAsia="Calibri" w:hAnsi="Calibri"/>
        <w:color w:val="6A7A92"/>
        <w:sz w:val="16"/>
        <w:szCs w:val="16"/>
      </w:rPr>
      <w:fldChar w:fldCharType="begin"/>
      <w:instrText xml:space="preserve">PAGE</w:instrText>
      <w:fldChar w:fldCharType="separate"/>
      <w:fldChar w:fldCharType="end"/>
    </w:r>
    <w:r>
      <w:rPr>
        <w:rFonts w:ascii="Calibri" w:cs="Calibri" w:eastAsia="Calibri" w:hAnsi="Calibri"/>
        <w:color w:val="6A7A92"/>
        <w:sz w:val="16"/>
        <w:szCs w:val="16"/>
      </w:rPr>
      <w:t xml:space="preserve"> of </w:t>
    </w:r>
    <w:r>
      <w:rPr>
        <w:rFonts w:ascii="Calibri" w:cs="Calibri" w:eastAsia="Calibri" w:hAnsi="Calibri"/>
        <w:color w:val="6A7A92"/>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space="4"/>
      </w:pBdr>
      <w:tabs>
        <w:tab w:val="center" w:pos="4680"/>
        <w:tab w:val="right" w:pos="9026"/>
      </w:tabs>
    </w:pPr>
    <w:r>
      <w:rPr>
        <w:rFonts w:ascii="Calibri" w:cs="Calibri" w:eastAsia="Calibri" w:hAnsi="Calibri"/>
        <w:i/>
        <w:iCs/>
        <w:color w:val="6A7A92"/>
        <w:sz w:val="18"/>
        <w:szCs w:val="18"/>
      </w:rPr>
      <w:t xml:space="preserve">The Core Wire Audit</w:t>
    </w:r>
    <w:r>
      <w:rPr>
        <w:sz w:val="18"/>
        <w:szCs w:val="18"/>
      </w:rPr>
      <w:t xml:space="preserve">	</w:t>
    </w:r>
    <w:r>
      <w:rPr>
        <w:rFonts w:ascii="Calibri" w:cs="Calibri" w:eastAsia="Calibri" w:hAnsi="Calibri"/>
        <w:color w:val="6A7A92"/>
        <w:sz w:val="18"/>
        <w:szCs w:val="18"/>
      </w:rPr>
      <w:t xml:space="preserve">Standardized Deliverable Template</w:t>
    </w:r>
    <w:r>
      <w:rPr>
        <w:sz w:val="18"/>
        <w:szCs w:val="18"/>
      </w:rPr>
      <w:t xml:space="preserve">	</w:t>
    </w:r>
    <w:r>
      <w:rPr>
        <w:rFonts w:ascii="Calibri" w:cs="Calibri" w:eastAsia="Calibri" w:hAnsi="Calibri"/>
        <w:color w:val="6A7A92"/>
        <w:sz w:val="18"/>
        <w:szCs w:val="18"/>
      </w:rPr>
      <w:t xml:space="preserve">v0.1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F2A4A"/>
      <w:sz w:val="32"/>
      <w:szCs w:val="32"/>
    </w:rPr>
  </w:style>
  <w:style w:type="paragraph" w:styleId="Heading2">
    <w:name w:val="Heading 2"/>
    <w:basedOn w:val="Normal"/>
    <w:next w:val="Normal"/>
    <w:qFormat/>
    <w:pPr>
      <w:spacing w:after="140" w:before="280"/>
      <w:outlineLvl w:val="1"/>
    </w:pPr>
    <w:rPr>
      <w:rFonts w:ascii="Calibri" w:cs="Calibri" w:eastAsia="Calibri" w:hAnsi="Calibri"/>
      <w:b/>
      <w:bCs/>
      <w:color w:val="1B4070"/>
      <w:sz w:val="26"/>
      <w:szCs w:val="26"/>
    </w:rPr>
  </w:style>
  <w:style w:type="paragraph" w:styleId="Heading3">
    <w:name w:val="Heading 3"/>
    <w:basedOn w:val="Normal"/>
    <w:next w:val="Normal"/>
    <w:qFormat/>
    <w:pPr>
      <w:spacing w:after="100" w:before="200"/>
      <w:outlineLvl w:val="2"/>
    </w:pPr>
    <w:rPr>
      <w:rFonts w:ascii="Calibri" w:cs="Calibri" w:eastAsia="Calibri" w:hAnsi="Calibri"/>
      <w:b/>
      <w:bCs/>
      <w:color w:val="20202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Core Wire Audit — Standardized Deliverable Template v0.1</dc:title>
  <dc:creator>Access Intellect LLC</dc:creator>
  <dc:description>Open-published audit deliverable template. CC-BY-4.0. corewire.org</dc:description>
  <cp:lastModifiedBy>Un-named</cp:lastModifiedBy>
  <cp:revision>1</cp:revision>
  <dcterms:created xsi:type="dcterms:W3CDTF">2026-05-06T23:51:04.227Z</dcterms:created>
  <dcterms:modified xsi:type="dcterms:W3CDTF">2026-05-06T23:51:04.227Z</dcterms:modified>
</cp:coreProperties>
</file>

<file path=docProps/custom.xml><?xml version="1.0" encoding="utf-8"?>
<Properties xmlns="http://schemas.openxmlformats.org/officeDocument/2006/custom-properties" xmlns:vt="http://schemas.openxmlformats.org/officeDocument/2006/docPropsVTypes"/>
</file>